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b/>
          <w:bCs/>
          <w:sz w:val="22"/>
          <w:szCs w:val="22"/>
        </w:rPr>
      </w:pPr>
      <w:r>
        <w:rPr>
          <w:b/>
          <w:bCs/>
          <w:sz w:val="22"/>
          <w:szCs w:val="22"/>
          <w:lang w:eastAsia="ja-JP"/>
        </w:rPr>
        <w:t>3GPP TSG RAN WG1 meeting #11</w:t>
      </w:r>
      <w:r>
        <w:rPr>
          <w:b/>
          <w:bCs/>
          <w:sz w:val="22"/>
          <w:szCs w:val="22"/>
        </w:rPr>
        <w:t>6</w:t>
      </w:r>
      <w:r>
        <w:rPr>
          <w:b/>
          <w:bCs/>
          <w:sz w:val="22"/>
          <w:szCs w:val="22"/>
          <w:lang w:eastAsia="ja-JP"/>
        </w:rPr>
        <w:tab/>
      </w:r>
      <w:r>
        <w:rPr>
          <w:b/>
          <w:bCs/>
          <w:sz w:val="22"/>
          <w:szCs w:val="22"/>
          <w:lang w:eastAsia="ja-JP"/>
        </w:rPr>
        <w:tab/>
      </w:r>
      <w:r>
        <w:rPr>
          <w:b/>
          <w:bCs/>
          <w:sz w:val="22"/>
          <w:szCs w:val="22"/>
          <w:lang w:eastAsia="ja-JP"/>
        </w:rPr>
        <w:t xml:space="preserve">                                   R1-2400493</w:t>
      </w:r>
    </w:p>
    <w:p>
      <w:pPr>
        <w:spacing w:before="120" w:after="120"/>
        <w:rPr>
          <w:b/>
          <w:bCs/>
          <w:sz w:val="22"/>
          <w:szCs w:val="22"/>
        </w:rPr>
      </w:pPr>
      <w:r>
        <w:rPr>
          <w:b/>
          <w:bCs/>
          <w:sz w:val="22"/>
          <w:szCs w:val="22"/>
        </w:rPr>
        <w:t>Athens</w:t>
      </w:r>
      <w:r>
        <w:rPr>
          <w:b/>
          <w:bCs/>
          <w:sz w:val="22"/>
          <w:szCs w:val="22"/>
          <w:lang w:eastAsia="ja-JP"/>
        </w:rPr>
        <w:t xml:space="preserve">, </w:t>
      </w:r>
      <w:r>
        <w:rPr>
          <w:b/>
          <w:bCs/>
          <w:sz w:val="22"/>
          <w:szCs w:val="22"/>
        </w:rPr>
        <w:t>Greece, Feb 26</w:t>
      </w:r>
      <w:r>
        <w:rPr>
          <w:b/>
          <w:bCs/>
          <w:sz w:val="22"/>
          <w:szCs w:val="22"/>
          <w:vertAlign w:val="superscript"/>
        </w:rPr>
        <w:t>th</w:t>
      </w:r>
      <w:r>
        <w:rPr>
          <w:rFonts w:eastAsia="MS Mincho"/>
          <w:b/>
          <w:bCs/>
          <w:sz w:val="22"/>
          <w:szCs w:val="22"/>
        </w:rPr>
        <w:t xml:space="preserve"> – </w:t>
      </w:r>
      <w:r>
        <w:rPr>
          <w:b/>
          <w:bCs/>
          <w:sz w:val="22"/>
          <w:szCs w:val="22"/>
        </w:rPr>
        <w:t>Mar 1</w:t>
      </w:r>
      <w:r>
        <w:rPr>
          <w:b/>
          <w:bCs/>
          <w:sz w:val="22"/>
          <w:szCs w:val="22"/>
          <w:vertAlign w:val="superscript"/>
        </w:rPr>
        <w:t>st</w:t>
      </w:r>
      <w:r>
        <w:rPr>
          <w:b/>
          <w:bCs/>
          <w:sz w:val="22"/>
          <w:szCs w:val="22"/>
          <w:lang w:eastAsia="ja-JP"/>
        </w:rPr>
        <w:t>, 202</w:t>
      </w:r>
      <w:r>
        <w:rPr>
          <w:b/>
          <w:bCs/>
          <w:sz w:val="22"/>
          <w:szCs w:val="22"/>
        </w:rPr>
        <w:t>4</w:t>
      </w:r>
    </w:p>
    <w:p>
      <w:pPr>
        <w:tabs>
          <w:tab w:val="center" w:pos="4536"/>
          <w:tab w:val="right" w:pos="9072"/>
        </w:tabs>
        <w:spacing w:before="120" w:after="120"/>
        <w:rPr>
          <w:b/>
          <w:bCs/>
          <w:sz w:val="22"/>
          <w:szCs w:val="22"/>
        </w:rPr>
      </w:pPr>
    </w:p>
    <w:p>
      <w:pPr>
        <w:tabs>
          <w:tab w:val="left" w:pos="1985"/>
        </w:tabs>
        <w:spacing w:before="240" w:beforeLines="100" w:after="120"/>
        <w:ind w:left="1987" w:hanging="1987"/>
        <w:rPr>
          <w:b/>
          <w:sz w:val="22"/>
          <w:szCs w:val="22"/>
        </w:rPr>
      </w:pPr>
      <w:r>
        <w:rPr>
          <w:b/>
          <w:sz w:val="22"/>
          <w:szCs w:val="22"/>
        </w:rPr>
        <w:t xml:space="preserve">Title: </w:t>
      </w:r>
      <w:r>
        <w:rPr>
          <w:b/>
          <w:sz w:val="22"/>
          <w:szCs w:val="22"/>
        </w:rPr>
        <w:tab/>
      </w:r>
      <w:r>
        <w:rPr>
          <w:b/>
          <w:sz w:val="22"/>
          <w:szCs w:val="22"/>
        </w:rPr>
        <w:t>Discussion on on-demand SIB1 for UEs in idle/inactive mode </w:t>
      </w:r>
    </w:p>
    <w:p>
      <w:pPr>
        <w:tabs>
          <w:tab w:val="left" w:pos="1985"/>
        </w:tabs>
        <w:spacing w:before="120" w:after="120"/>
        <w:ind w:left="1980" w:hanging="1980"/>
        <w:rPr>
          <w:b/>
          <w:sz w:val="22"/>
          <w:szCs w:val="22"/>
        </w:rPr>
      </w:pPr>
      <w:r>
        <w:rPr>
          <w:b/>
          <w:sz w:val="22"/>
          <w:szCs w:val="22"/>
        </w:rPr>
        <w:t xml:space="preserve">Source: </w:t>
      </w:r>
      <w:r>
        <w:rPr>
          <w:b/>
          <w:sz w:val="22"/>
          <w:szCs w:val="22"/>
        </w:rPr>
        <w:tab/>
      </w:r>
      <w:r>
        <w:rPr>
          <w:b/>
          <w:sz w:val="22"/>
          <w:szCs w:val="22"/>
        </w:rPr>
        <w:t>ZTE, Sanechips</w:t>
      </w:r>
    </w:p>
    <w:p>
      <w:pPr>
        <w:tabs>
          <w:tab w:val="left" w:pos="1985"/>
        </w:tabs>
        <w:spacing w:before="120" w:after="120"/>
        <w:rPr>
          <w:b/>
          <w:sz w:val="20"/>
          <w:szCs w:val="22"/>
        </w:rPr>
      </w:pPr>
      <w:r>
        <w:rPr>
          <w:b/>
          <w:sz w:val="22"/>
          <w:szCs w:val="22"/>
          <w:lang w:val="pt-BR"/>
        </w:rPr>
        <w:t>Agenda item:</w:t>
      </w:r>
      <w:r>
        <w:rPr>
          <w:b/>
          <w:sz w:val="22"/>
          <w:szCs w:val="22"/>
          <w:lang w:val="pt-BR"/>
        </w:rPr>
        <w:tab/>
      </w:r>
      <w:r>
        <w:rPr>
          <w:b/>
          <w:sz w:val="22"/>
          <w:szCs w:val="22"/>
        </w:rPr>
        <w:t>9.5.2</w:t>
      </w:r>
    </w:p>
    <w:p>
      <w:pPr>
        <w:tabs>
          <w:tab w:val="left" w:pos="1985"/>
        </w:tabs>
        <w:spacing w:before="120" w:after="120"/>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Introduction</w:t>
      </w:r>
    </w:p>
    <w:p>
      <w:pPr>
        <w:spacing w:before="120" w:after="120"/>
        <w:rPr>
          <w:szCs w:val="21"/>
        </w:rPr>
      </w:pPr>
      <w:r>
        <w:rPr>
          <w:szCs w:val="21"/>
        </w:rPr>
        <w:t xml:space="preserve">The WID for Enhancements of network energy savings for NR was </w:t>
      </w:r>
      <w:r>
        <w:rPr>
          <w:rFonts w:hint="eastAsia"/>
          <w:szCs w:val="21"/>
        </w:rPr>
        <w:t>approv</w:t>
      </w:r>
      <w:r>
        <w:rPr>
          <w:szCs w:val="21"/>
        </w:rPr>
        <w:t xml:space="preserve">ed in 3GPP RAN #102 meeting [1]. In the WID, one objective </w:t>
      </w:r>
      <w:r>
        <w:rPr>
          <w:rFonts w:hint="eastAsia"/>
          <w:szCs w:val="21"/>
        </w:rPr>
        <w:t>is</w:t>
      </w:r>
      <w:r>
        <w:rPr>
          <w:szCs w:val="21"/>
        </w:rPr>
        <w:t xml:space="preserve"> to study procedures and signaling method(s) to support on-demand SIB1 for UEs in idle/inactive mode.</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0" w:type="dxa"/>
          </w:tcPr>
          <w:p>
            <w:pPr>
              <w:numPr>
                <w:ilvl w:val="0"/>
                <w:numId w:val="5"/>
              </w:numPr>
              <w:spacing w:before="120" w:after="120" w:line="260" w:lineRule="auto"/>
              <w:ind w:left="376" w:hanging="375" w:hangingChars="179"/>
              <w:rPr>
                <w:bCs/>
              </w:rPr>
            </w:pPr>
            <w:r>
              <w:rPr>
                <w:bCs/>
              </w:rPr>
              <w:t xml:space="preserve"> Study procedures</w:t>
            </w:r>
            <w:r>
              <w:t xml:space="preserve"> and signaling method(s) to support </w:t>
            </w:r>
            <w:r>
              <w:rPr>
                <w:bCs/>
              </w:rPr>
              <w:t>on-demand SIB1 for UEs in idle</w:t>
            </w:r>
            <w:r>
              <w:t>/inactive</w:t>
            </w:r>
            <w:r>
              <w:rPr>
                <w:bCs/>
              </w:rPr>
              <w:t xml:space="preserve"> mode, including: [RAN1/2/3]</w:t>
            </w:r>
          </w:p>
          <w:p>
            <w:pPr>
              <w:numPr>
                <w:ilvl w:val="1"/>
                <w:numId w:val="6"/>
              </w:numPr>
              <w:spacing w:before="120" w:after="120"/>
              <w:ind w:left="1049" w:hanging="329"/>
              <w:rPr>
                <w:bCs/>
              </w:rPr>
            </w:pPr>
            <w:r>
              <w:rPr>
                <w:bCs/>
              </w:rPr>
              <w:t>Triggering method by uplink wake-up-signal using an existing signal/channel.</w:t>
            </w:r>
          </w:p>
          <w:p>
            <w:pPr>
              <w:numPr>
                <w:ilvl w:val="1"/>
                <w:numId w:val="6"/>
              </w:numPr>
              <w:spacing w:before="120" w:after="120"/>
              <w:ind w:left="1049" w:hanging="329"/>
              <w:rPr>
                <w:bCs/>
              </w:rPr>
            </w:pPr>
            <w:r>
              <w:t xml:space="preserve">Wake-up-signal configuration provisioning to UE </w:t>
            </w:r>
          </w:p>
          <w:p>
            <w:pPr>
              <w:numPr>
                <w:ilvl w:val="2"/>
                <w:numId w:val="6"/>
              </w:numPr>
              <w:spacing w:before="120" w:after="120"/>
              <w:rPr>
                <w:bCs/>
              </w:rPr>
            </w:pPr>
            <w:r>
              <w:t>Note: No modification of SSB will be discussed under this objective</w:t>
            </w:r>
          </w:p>
          <w:p>
            <w:pPr>
              <w:numPr>
                <w:ilvl w:val="1"/>
                <w:numId w:val="6"/>
              </w:numPr>
              <w:spacing w:before="120" w:after="120"/>
              <w:ind w:left="1049" w:hanging="329"/>
              <w:rPr>
                <w:bCs/>
              </w:rPr>
            </w:pPr>
            <w:r>
              <w:t>Information</w:t>
            </w:r>
            <w:r>
              <w:rPr>
                <w:bCs/>
              </w:rPr>
              <w:t xml:space="preserve"> exchange between gNBs at least for the configuration of wake-up signal, if necessary.</w:t>
            </w:r>
          </w:p>
          <w:p>
            <w:pPr>
              <w:numPr>
                <w:ilvl w:val="1"/>
                <w:numId w:val="6"/>
              </w:numPr>
              <w:spacing w:before="120" w:after="120"/>
              <w:ind w:left="1049" w:hanging="329"/>
            </w:pPr>
            <w:r>
              <w:t>Checkpoint for normative work in RAN#105</w:t>
            </w:r>
          </w:p>
        </w:tc>
      </w:tr>
    </w:tbl>
    <w:p>
      <w:pPr>
        <w:spacing w:before="120" w:after="120"/>
        <w:rPr>
          <w:bCs/>
        </w:rPr>
      </w:pPr>
      <w:r>
        <w:rPr>
          <w:szCs w:val="21"/>
        </w:rPr>
        <w:t xml:space="preserve">In this contribution, our views on the </w:t>
      </w:r>
      <w:r>
        <w:rPr>
          <w:bCs/>
        </w:rPr>
        <w:t>on-demand SIB1 for UEs in idle</w:t>
      </w:r>
      <w:r>
        <w:t>/inactive</w:t>
      </w:r>
      <w:r>
        <w:rPr>
          <w:bCs/>
        </w:rPr>
        <w:t xml:space="preserve"> mode are </w:t>
      </w:r>
      <w:r>
        <w:rPr>
          <w:rFonts w:hint="eastAsia"/>
          <w:bCs/>
        </w:rPr>
        <w:t>provid</w:t>
      </w:r>
      <w:r>
        <w:rPr>
          <w:bCs/>
        </w:rPr>
        <w:t>ed.</w:t>
      </w:r>
    </w:p>
    <w:p>
      <w:pPr>
        <w:spacing w:before="120" w:after="120"/>
        <w:rPr>
          <w:bCs/>
        </w:rPr>
      </w:pPr>
    </w:p>
    <w:p>
      <w:pPr>
        <w:pStyle w:val="2"/>
        <w:spacing w:before="120" w:after="120"/>
        <w:ind w:left="0"/>
        <w:rPr>
          <w:rFonts w:ascii="Times New Roman" w:hAnsi="Times New Roman"/>
          <w:b/>
          <w:bCs/>
          <w:sz w:val="28"/>
          <w:szCs w:val="28"/>
        </w:rPr>
      </w:pPr>
      <w:r>
        <w:rPr>
          <w:rFonts w:ascii="Times New Roman" w:hAnsi="Times New Roman" w:eastAsia="宋体"/>
          <w:b/>
          <w:bCs/>
          <w:sz w:val="28"/>
          <w:szCs w:val="28"/>
        </w:rPr>
        <w:t>Simulation results of the on-demand SIB1</w:t>
      </w:r>
    </w:p>
    <w:p>
      <w:pPr>
        <w:spacing w:before="120" w:after="120"/>
      </w:pPr>
      <w:r>
        <w:rPr>
          <w:rFonts w:hint="eastAsia"/>
        </w:rPr>
        <w:t xml:space="preserve">As discussed in </w:t>
      </w:r>
      <w:r>
        <w:rPr>
          <w:szCs w:val="21"/>
        </w:rPr>
        <w:t>RAN #102 meeting</w:t>
      </w:r>
      <w:r>
        <w:t xml:space="preserve">, </w:t>
      </w:r>
      <w:r>
        <w:rPr>
          <w:rFonts w:hint="eastAsia"/>
        </w:rPr>
        <w:t>companies</w:t>
      </w:r>
      <w:r>
        <w:t>’</w:t>
      </w:r>
      <w:r>
        <w:rPr>
          <w:rFonts w:hint="eastAsia"/>
        </w:rPr>
        <w:t xml:space="preserve"> views on </w:t>
      </w:r>
      <w:r>
        <w:t>on-demand SIB1 for UEs in idle/inactive mode w</w:t>
      </w:r>
      <w:r>
        <w:rPr>
          <w:rFonts w:hint="eastAsia"/>
        </w:rPr>
        <w:t>ere</w:t>
      </w:r>
      <w:r>
        <w:t xml:space="preserve"> controversial. Whether th</w:t>
      </w:r>
      <w:r>
        <w:rPr>
          <w:rFonts w:hint="eastAsia"/>
        </w:rPr>
        <w:t>is</w:t>
      </w:r>
      <w:r>
        <w:t xml:space="preserve"> technique should be included in </w:t>
      </w:r>
      <w:r>
        <w:rPr>
          <w:rFonts w:hint="eastAsia"/>
        </w:rPr>
        <w:t>Rel-19</w:t>
      </w:r>
      <w:r>
        <w:t xml:space="preserve"> </w:t>
      </w:r>
      <w:r>
        <w:rPr>
          <w:rFonts w:hint="eastAsia"/>
        </w:rPr>
        <w:t xml:space="preserve">normative work </w:t>
      </w:r>
      <w:r>
        <w:t xml:space="preserve">needs </w:t>
      </w:r>
      <w:r>
        <w:rPr>
          <w:rFonts w:hint="eastAsia"/>
        </w:rPr>
        <w:t xml:space="preserve">to be </w:t>
      </w:r>
      <w:r>
        <w:t xml:space="preserve">further studied. Considering </w:t>
      </w:r>
      <w:r>
        <w:rPr>
          <w:rFonts w:hint="eastAsia"/>
        </w:rPr>
        <w:t xml:space="preserve">that </w:t>
      </w:r>
      <w:r>
        <w:t>the energy saving gain is an important KPI</w:t>
      </w:r>
      <w:r>
        <w:rPr>
          <w:rFonts w:hint="eastAsia"/>
        </w:rPr>
        <w:t>,</w:t>
      </w:r>
      <w:r>
        <w:t xml:space="preserve"> the network energy saving gain of on-demand SIB1 transmission should be </w:t>
      </w:r>
      <w:r>
        <w:rPr>
          <w:rFonts w:hint="eastAsia"/>
        </w:rPr>
        <w:t>evaluat</w:t>
      </w:r>
      <w:r>
        <w:t xml:space="preserve">ed first. </w:t>
      </w:r>
    </w:p>
    <w:p>
      <w:pPr>
        <w:pStyle w:val="61"/>
        <w:spacing w:before="120" w:after="120"/>
        <w:jc w:val="both"/>
        <w:rPr>
          <w:lang w:val="en-US" w:eastAsia="zh-CN"/>
        </w:rPr>
      </w:pPr>
      <w:bookmarkStart w:id="0" w:name="_Toc2180"/>
      <w:bookmarkStart w:id="1" w:name="_Toc3692"/>
      <w:bookmarkStart w:id="2" w:name="_Toc28186"/>
      <w:bookmarkStart w:id="3" w:name="_Toc27967"/>
      <w:bookmarkStart w:id="4" w:name="_Toc10724"/>
      <w:bookmarkStart w:id="5" w:name="_Toc11731"/>
      <w:r>
        <w:rPr>
          <w:rFonts w:hint="eastAsia"/>
          <w:lang w:val="en-US" w:eastAsia="zh-CN"/>
        </w:rPr>
        <w:t>If on-demand SIB1 for UEs in idle/inactive mode is</w:t>
      </w:r>
      <w:r>
        <w:rPr>
          <w:lang w:val="en-US" w:eastAsia="zh-CN"/>
        </w:rPr>
        <w:t xml:space="preserve"> </w:t>
      </w:r>
      <w:r>
        <w:rPr>
          <w:rFonts w:hint="eastAsia"/>
          <w:lang w:val="en-US" w:eastAsia="zh-CN"/>
        </w:rPr>
        <w:t xml:space="preserve">significantly </w:t>
      </w:r>
      <w:r>
        <w:rPr>
          <w:lang w:val="en-US" w:eastAsia="zh-CN"/>
        </w:rPr>
        <w:t>beneficial for network energy savings</w:t>
      </w:r>
      <w:r>
        <w:rPr>
          <w:rFonts w:hint="eastAsia"/>
          <w:lang w:val="en-US" w:eastAsia="zh-CN"/>
        </w:rPr>
        <w:t>, the normative work can be considered.</w:t>
      </w:r>
      <w:bookmarkEnd w:id="0"/>
      <w:bookmarkEnd w:id="1"/>
      <w:bookmarkEnd w:id="2"/>
      <w:bookmarkEnd w:id="3"/>
      <w:bookmarkEnd w:id="4"/>
      <w:bookmarkEnd w:id="5"/>
    </w:p>
    <w:p>
      <w:pPr>
        <w:spacing w:before="120" w:after="120"/>
      </w:pPr>
      <w:r>
        <w:rPr>
          <w:rFonts w:hint="eastAsia"/>
          <w:bCs/>
          <w:iCs/>
          <w:szCs w:val="21"/>
        </w:rPr>
        <w:t>F</w:t>
      </w:r>
      <w:r>
        <w:rPr>
          <w:bCs/>
          <w:iCs/>
          <w:szCs w:val="21"/>
        </w:rPr>
        <w:t xml:space="preserve">ew simulation results about on-demand SIB1 were provided </w:t>
      </w:r>
      <w:r>
        <w:t>in TR38.864[2]</w:t>
      </w:r>
      <w:r>
        <w:rPr>
          <w:rFonts w:hint="eastAsia"/>
        </w:rPr>
        <w:t>, which is definitely not enough</w:t>
      </w:r>
      <w:r>
        <w:t xml:space="preserve">. </w:t>
      </w:r>
      <w:r>
        <w:rPr>
          <w:rFonts w:hint="eastAsia"/>
        </w:rPr>
        <w:t xml:space="preserve">And in </w:t>
      </w:r>
      <w:r>
        <w:t xml:space="preserve">this contribution, the system-level simulation results for </w:t>
      </w:r>
      <w:r>
        <w:rPr>
          <w:bCs/>
        </w:rPr>
        <w:t>on-demand SIB1 for UEs in idle</w:t>
      </w:r>
      <w:r>
        <w:t>/inactive</w:t>
      </w:r>
      <w:r>
        <w:rPr>
          <w:bCs/>
        </w:rPr>
        <w:t xml:space="preserve"> mode</w:t>
      </w:r>
      <w:r>
        <w:t xml:space="preserve"> are provided and summarized based on the power consumption model in [2]. </w:t>
      </w:r>
      <w:r>
        <w:rPr>
          <w:rFonts w:hint="eastAsia"/>
        </w:rPr>
        <w:t>Note t</w:t>
      </w:r>
      <w:r>
        <w:t>he relative power of the power states and simulation assumptions used in this contribution can be found in Table A1 - Table A3 in Appendix.</w:t>
      </w:r>
    </w:p>
    <w:p>
      <w:pPr>
        <w:spacing w:before="120" w:after="120"/>
      </w:pPr>
      <w:r>
        <w:rPr>
          <w:rFonts w:hint="eastAsia"/>
        </w:rPr>
        <w:t>In the baseline, SSB transmission periodicity is assumed as 20ms based on TS 38.213. According to TS38.331, the SIB1 transmission periodicity can be up to 160ms.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255"/>
                <w:numId w:val="0"/>
              </w:numPr>
              <w:spacing w:before="120" w:after="120"/>
            </w:pPr>
            <w:r>
              <w:rPr>
                <w:rFonts w:hint="eastAsia"/>
              </w:rPr>
              <w:t xml:space="preserve">TS38.331 </w:t>
            </w:r>
          </w:p>
          <w:p>
            <w:pPr>
              <w:numPr>
                <w:ilvl w:val="255"/>
                <w:numId w:val="0"/>
              </w:numPr>
              <w:spacing w:before="120" w:after="120"/>
            </w:pPr>
            <w:r>
              <w:rPr>
                <w:rFonts w:hint="eastAsia"/>
              </w:rPr>
              <w:t>Subclause 5.2 System information</w:t>
            </w:r>
          </w:p>
          <w:p>
            <w:pPr>
              <w:spacing w:before="120" w:after="120"/>
            </w:pPr>
            <w:r>
              <w:rPr>
                <w:rFonts w:hint="eastAsia"/>
              </w:rPr>
              <w:t>-</w:t>
            </w:r>
            <w:r>
              <w:t>the SIB1 is transmitted on the DL-SCH with a periodicity of 160 ms and variable transmission repetition</w:t>
            </w:r>
          </w:p>
          <w:p>
            <w:pPr>
              <w:spacing w:before="120" w:after="120"/>
            </w:pPr>
            <w:r>
              <w:t>periodicity within 160 ms as specified in TS 38.213 [13], clause 13. The default transmission repetition</w:t>
            </w:r>
          </w:p>
          <w:p>
            <w:pPr>
              <w:spacing w:before="120" w:after="120"/>
            </w:pPr>
            <w:r>
              <w:t>periodicity of SIB1 is 20 ms but the actual transmission repetition periodicity is up to network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255"/>
                <w:numId w:val="0"/>
              </w:numPr>
              <w:spacing w:before="120" w:after="120"/>
            </w:pPr>
            <w:r>
              <w:rPr>
                <w:rFonts w:hint="eastAsia"/>
              </w:rPr>
              <w:t xml:space="preserve">TS38.213 </w:t>
            </w:r>
          </w:p>
          <w:p>
            <w:pPr>
              <w:numPr>
                <w:ilvl w:val="255"/>
                <w:numId w:val="0"/>
              </w:numPr>
              <w:spacing w:before="120" w:after="120"/>
            </w:pPr>
            <w:r>
              <w:rPr>
                <w:rFonts w:hint="eastAsia"/>
              </w:rPr>
              <w:t>Subclause 4.1</w:t>
            </w:r>
            <w:r>
              <w:rPr>
                <w:rFonts w:hint="eastAsia"/>
              </w:rPr>
              <w:tab/>
            </w:r>
            <w:r>
              <w:rPr>
                <w:rFonts w:hint="eastAsia"/>
              </w:rPr>
              <w:t>Cell search</w:t>
            </w:r>
          </w:p>
          <w:p>
            <w:pPr>
              <w:numPr>
                <w:ilvl w:val="255"/>
                <w:numId w:val="0"/>
              </w:numPr>
              <w:spacing w:before="120" w:after="120"/>
            </w:pPr>
            <w:r>
              <w:t xml:space="preserve">For initial cell selection, a UE may assume that half frames with SS/PBCH blocks occur with a periodicity of 2 frames. </w:t>
            </w:r>
          </w:p>
        </w:tc>
      </w:tr>
    </w:tbl>
    <w:p>
      <w:pPr>
        <w:spacing w:before="120" w:after="120"/>
      </w:pPr>
      <w:r>
        <w:rPr>
          <w:rFonts w:hint="eastAsia"/>
        </w:rPr>
        <w:t xml:space="preserve">Moreover, network needs to provide communication services to multiple </w:t>
      </w:r>
      <w:r>
        <w:t xml:space="preserve">UEs </w:t>
      </w:r>
      <w:r>
        <w:rPr>
          <w:rFonts w:hint="eastAsia"/>
        </w:rPr>
        <w:t>in the cell. Hence, in addition to idle/inactive state UEs, we also assume there are RRC connected state UEs in the cell, and different traffic load is assumed. More evaluation details</w:t>
      </w:r>
      <w:r>
        <w:t>,</w:t>
      </w:r>
      <w:r>
        <w:rPr>
          <w:rFonts w:hint="eastAsia"/>
        </w:rPr>
        <w:t xml:space="preserve"> e.g.,</w:t>
      </w:r>
      <w:r>
        <w:t xml:space="preserve"> the traffic model, load scenario,</w:t>
      </w:r>
      <w:r>
        <w:rPr>
          <w:rFonts w:hint="eastAsia"/>
        </w:rPr>
        <w:t xml:space="preserve"> </w:t>
      </w:r>
      <w:r>
        <w:t>are listed as follows</w:t>
      </w:r>
      <w:r>
        <w:rPr>
          <w:rFonts w:hint="eastAsia"/>
        </w:rPr>
        <w:t>.</w:t>
      </w:r>
      <w:r>
        <w:t xml:space="preserve"> </w:t>
      </w:r>
    </w:p>
    <w:p>
      <w:pPr>
        <w:numPr>
          <w:ilvl w:val="0"/>
          <w:numId w:val="7"/>
        </w:numPr>
        <w:spacing w:before="120" w:after="120"/>
      </w:pPr>
      <w:r>
        <w:rPr>
          <w:rFonts w:hint="eastAsia"/>
          <w:b/>
          <w:bCs/>
        </w:rPr>
        <w:t xml:space="preserve">RRC connected state </w:t>
      </w:r>
      <w:r>
        <w:rPr>
          <w:b/>
          <w:bCs/>
        </w:rPr>
        <w:t>UE</w:t>
      </w:r>
      <w:r>
        <w:rPr>
          <w:rFonts w:hint="eastAsia"/>
          <w:b/>
          <w:bCs/>
        </w:rPr>
        <w:t>s</w:t>
      </w:r>
      <w:r>
        <w:rPr>
          <w:b/>
          <w:bCs/>
        </w:rPr>
        <w:t>’ traffic:</w:t>
      </w:r>
      <w:r>
        <w:t xml:space="preserve"> FTP3 traffic.</w:t>
      </w:r>
    </w:p>
    <w:p>
      <w:pPr>
        <w:numPr>
          <w:ilvl w:val="0"/>
          <w:numId w:val="7"/>
        </w:numPr>
        <w:spacing w:before="120" w:after="120"/>
      </w:pPr>
      <w:r>
        <w:rPr>
          <w:b/>
          <w:bCs/>
        </w:rPr>
        <w:t xml:space="preserve">Baseline: </w:t>
      </w:r>
      <w:r>
        <w:t>SSB</w:t>
      </w:r>
      <w:r>
        <w:rPr>
          <w:rFonts w:hint="eastAsia"/>
        </w:rPr>
        <w:t xml:space="preserve"> {20ms}, </w:t>
      </w:r>
      <w:r>
        <w:t>SIB</w:t>
      </w:r>
      <w:r>
        <w:rPr>
          <w:rFonts w:hint="eastAsia"/>
        </w:rPr>
        <w:t>1</w:t>
      </w:r>
      <w:r>
        <w:t xml:space="preserve"> periodicity {160ms}</w:t>
      </w:r>
      <w:r>
        <w:rPr>
          <w:rFonts w:hint="eastAsia"/>
        </w:rPr>
        <w:t>, as shown in Figure 1</w:t>
      </w:r>
      <w:r>
        <w:t>.</w:t>
      </w:r>
    </w:p>
    <w:p>
      <w:pPr>
        <w:numPr>
          <w:ilvl w:val="0"/>
          <w:numId w:val="7"/>
        </w:numPr>
        <w:spacing w:before="120" w:after="120"/>
      </w:pPr>
      <w:r>
        <w:rPr>
          <w:b/>
          <w:bCs/>
        </w:rPr>
        <w:t>Enhanced scheme:</w:t>
      </w:r>
      <w:r>
        <w:t xml:space="preserve"> On-demand SIB is transmitted with a rate of 75%, 50%, 25%, 12.5% and 5% under the case of SSB/SIB</w:t>
      </w:r>
      <w:r>
        <w:rPr>
          <w:rFonts w:hint="eastAsia"/>
        </w:rPr>
        <w:t>1</w:t>
      </w:r>
      <w:r>
        <w:t xml:space="preserve"> periodicity {20ms/160ms}.</w:t>
      </w:r>
    </w:p>
    <w:p>
      <w:pPr>
        <w:spacing w:before="120" w:after="120"/>
        <w:jc w:val="center"/>
        <w:rPr>
          <w:kern w:val="0"/>
          <w:sz w:val="24"/>
          <w:szCs w:val="24"/>
          <w:lang w:bidi="ar"/>
        </w:rPr>
      </w:pPr>
      <w:r>
        <w:drawing>
          <wp:inline distT="0" distB="0" distL="114300" distR="114300">
            <wp:extent cx="5323840" cy="1356360"/>
            <wp:effectExtent l="0" t="0" r="1016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5323840" cy="1356360"/>
                    </a:xfrm>
                    <a:prstGeom prst="rect">
                      <a:avLst/>
                    </a:prstGeom>
                    <a:noFill/>
                    <a:ln>
                      <a:noFill/>
                    </a:ln>
                  </pic:spPr>
                </pic:pic>
              </a:graphicData>
            </a:graphic>
          </wp:inline>
        </w:drawing>
      </w:r>
    </w:p>
    <w:p>
      <w:pPr>
        <w:spacing w:before="120" w:after="120"/>
        <w:jc w:val="center"/>
      </w:pPr>
      <w:r>
        <w:t>Figure 1 SSB/SIB1 transmission procedure for baseline (upper) and on-demand SIB</w:t>
      </w:r>
      <w:r>
        <w:rPr>
          <w:rFonts w:hint="eastAsia"/>
        </w:rPr>
        <w:t>1</w:t>
      </w:r>
      <w:r>
        <w:t xml:space="preserve"> operation(lower)</w:t>
      </w:r>
    </w:p>
    <w:p>
      <w:pPr>
        <w:spacing w:before="120" w:after="120"/>
      </w:pPr>
      <w:r>
        <w:t xml:space="preserve">With the simulation assumptions provided above, the simulation results of on-demand SIB1 are shown in </w:t>
      </w:r>
      <w:r>
        <w:rPr>
          <w:highlight w:val="none"/>
        </w:rPr>
        <w:t>Figure 2</w:t>
      </w:r>
      <w:r>
        <w:t xml:space="preserve">. </w:t>
      </w:r>
    </w:p>
    <w:p>
      <w:pPr>
        <w:spacing w:before="120" w:after="120"/>
        <w:jc w:val="center"/>
      </w:pPr>
      <w:r>
        <w:drawing>
          <wp:inline distT="0" distB="0" distL="114300" distR="114300">
            <wp:extent cx="3550920" cy="208216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3550920" cy="2082165"/>
                    </a:xfrm>
                    <a:prstGeom prst="rect">
                      <a:avLst/>
                    </a:prstGeom>
                    <a:noFill/>
                    <a:ln>
                      <a:noFill/>
                    </a:ln>
                  </pic:spPr>
                </pic:pic>
              </a:graphicData>
            </a:graphic>
          </wp:inline>
        </w:drawing>
      </w:r>
    </w:p>
    <w:p>
      <w:pPr>
        <w:numPr>
          <w:ilvl w:val="0"/>
          <w:numId w:val="8"/>
        </w:numPr>
        <w:spacing w:before="120" w:after="120"/>
        <w:jc w:val="center"/>
      </w:pPr>
      <w:r>
        <w:t xml:space="preserve">NES gain for TDD Cat1 power </w:t>
      </w:r>
      <w:r>
        <w:rPr>
          <w:rFonts w:hint="eastAsia"/>
        </w:rPr>
        <w:t xml:space="preserve">consumption </w:t>
      </w:r>
      <w:r>
        <w:t>model</w:t>
      </w:r>
    </w:p>
    <w:p>
      <w:pPr>
        <w:numPr>
          <w:ilvl w:val="255"/>
          <w:numId w:val="0"/>
        </w:numPr>
        <w:spacing w:before="120" w:after="120"/>
        <w:jc w:val="center"/>
      </w:pPr>
      <w:r>
        <w:drawing>
          <wp:inline distT="0" distB="0" distL="114300" distR="114300">
            <wp:extent cx="3623945" cy="2124710"/>
            <wp:effectExtent l="0" t="0" r="3175" b="889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4"/>
                    <a:stretch>
                      <a:fillRect/>
                    </a:stretch>
                  </pic:blipFill>
                  <pic:spPr>
                    <a:xfrm>
                      <a:off x="0" y="0"/>
                      <a:ext cx="3623945" cy="2124710"/>
                    </a:xfrm>
                    <a:prstGeom prst="rect">
                      <a:avLst/>
                    </a:prstGeom>
                    <a:noFill/>
                    <a:ln>
                      <a:noFill/>
                    </a:ln>
                  </pic:spPr>
                </pic:pic>
              </a:graphicData>
            </a:graphic>
          </wp:inline>
        </w:drawing>
      </w:r>
    </w:p>
    <w:p>
      <w:pPr>
        <w:numPr>
          <w:ilvl w:val="0"/>
          <w:numId w:val="8"/>
        </w:numPr>
        <w:spacing w:before="120" w:after="120"/>
        <w:jc w:val="center"/>
      </w:pPr>
      <w:r>
        <w:t xml:space="preserve">NES gain for TDD Cat2 power </w:t>
      </w:r>
      <w:r>
        <w:rPr>
          <w:rFonts w:hint="eastAsia"/>
        </w:rPr>
        <w:t xml:space="preserve">consumption </w:t>
      </w:r>
      <w:r>
        <w:t>model</w:t>
      </w:r>
    </w:p>
    <w:p>
      <w:pPr>
        <w:spacing w:before="120" w:after="120"/>
        <w:jc w:val="center"/>
      </w:pPr>
      <w:r>
        <w:t>Figure 2 Network energy saving gain for on-demand SIB1 with different SIB1 transmission rate</w:t>
      </w:r>
      <w:r>
        <w:rPr>
          <w:rFonts w:hint="eastAsia"/>
        </w:rPr>
        <w:t>s</w:t>
      </w:r>
    </w:p>
    <w:p>
      <w:pPr>
        <w:spacing w:before="120" w:after="120"/>
      </w:pPr>
      <w:r>
        <w:t>According to the simulation results, it can be observed that NES gain with TDD Cat1 and Cat2 power</w:t>
      </w:r>
      <w:r>
        <w:rPr>
          <w:rFonts w:hint="eastAsia"/>
        </w:rPr>
        <w:t xml:space="preserve"> consumption</w:t>
      </w:r>
      <w:r>
        <w:t xml:space="preserve"> model </w:t>
      </w:r>
      <w:r>
        <w:rPr>
          <w:rFonts w:hint="eastAsia"/>
        </w:rPr>
        <w:t xml:space="preserve">is </w:t>
      </w:r>
      <w:r>
        <w:t xml:space="preserve">0.5%~5.63% and 0.39%~3.34% respectively </w:t>
      </w:r>
      <w:r>
        <w:rPr>
          <w:rFonts w:hint="eastAsia"/>
        </w:rPr>
        <w:t xml:space="preserve">in the </w:t>
      </w:r>
      <w:r>
        <w:t>cases of SIB transmission rate of 0</w:t>
      </w:r>
      <w:r>
        <w:rPr>
          <w:rFonts w:hint="eastAsia"/>
        </w:rPr>
        <w:t>~</w:t>
      </w:r>
      <w:r>
        <w:t xml:space="preserve"> 75%. </w:t>
      </w:r>
      <w:r>
        <w:rPr>
          <w:rFonts w:hint="eastAsia"/>
        </w:rPr>
        <w:t>Since the SSB transmission with smaller periodicity is still required and BS cannot enter into deep sleep mode even in the empty load, the maximum NES gain from on-demand SIB1 is less than 6%.</w:t>
      </w:r>
      <w:r>
        <w:t xml:space="preserve"> </w:t>
      </w:r>
      <w:r>
        <w:rPr>
          <w:rFonts w:hint="eastAsia"/>
        </w:rPr>
        <w:t>The n</w:t>
      </w:r>
      <w:r>
        <w:t xml:space="preserve">etwork energy </w:t>
      </w:r>
      <w:r>
        <w:rPr>
          <w:rFonts w:hint="eastAsia"/>
        </w:rPr>
        <w:t>saving gain</w:t>
      </w:r>
      <w:r>
        <w:t xml:space="preserve"> is reduced </w:t>
      </w:r>
      <w:r>
        <w:rPr>
          <w:rFonts w:hint="eastAsia"/>
        </w:rPr>
        <w:t>along with</w:t>
      </w:r>
      <w:r>
        <w:t xml:space="preserve"> the increase of SIB</w:t>
      </w:r>
      <w:r>
        <w:rPr>
          <w:rFonts w:hint="eastAsia"/>
        </w:rPr>
        <w:t>1</w:t>
      </w:r>
      <w:r>
        <w:t xml:space="preserve"> transmission rate</w:t>
      </w:r>
      <w:r>
        <w:rPr>
          <w:rFonts w:hint="eastAsia"/>
        </w:rPr>
        <w:t>.</w:t>
      </w:r>
      <w:r>
        <w:t xml:space="preserve"> Moreover, </w:t>
      </w:r>
      <w:r>
        <w:rPr>
          <w:rFonts w:hint="eastAsia"/>
        </w:rPr>
        <w:t xml:space="preserve">we observe that </w:t>
      </w:r>
      <w:r>
        <w:t xml:space="preserve">NES gain decreases with the increase of traffic load because the network energy consumption </w:t>
      </w:r>
      <w:r>
        <w:rPr>
          <w:rFonts w:hint="eastAsia"/>
        </w:rPr>
        <w:t>due to</w:t>
      </w:r>
      <w:r>
        <w:t xml:space="preserve"> data transmission is larger than that </w:t>
      </w:r>
      <w:r>
        <w:rPr>
          <w:rFonts w:hint="eastAsia"/>
        </w:rPr>
        <w:t xml:space="preserve">of </w:t>
      </w:r>
      <w:r>
        <w:t>SIB</w:t>
      </w:r>
      <w:r>
        <w:rPr>
          <w:rFonts w:hint="eastAsia"/>
        </w:rPr>
        <w:t>1</w:t>
      </w:r>
      <w:r>
        <w:t xml:space="preserve"> transmission.</w:t>
      </w:r>
    </w:p>
    <w:p>
      <w:pPr>
        <w:pStyle w:val="60"/>
        <w:tabs>
          <w:tab w:val="left" w:pos="1417"/>
          <w:tab w:val="left" w:pos="4820"/>
          <w:tab w:val="clear" w:pos="420"/>
        </w:tabs>
        <w:spacing w:before="120" w:after="120"/>
        <w:jc w:val="both"/>
        <w:rPr>
          <w:rFonts w:eastAsia="宋体"/>
          <w:bCs w:val="0"/>
          <w:lang w:val="en-US" w:eastAsia="zh-CN"/>
        </w:rPr>
      </w:pPr>
      <w:bookmarkStart w:id="6" w:name="_Toc32677"/>
      <w:bookmarkStart w:id="7" w:name="_Toc11305"/>
      <w:bookmarkStart w:id="8" w:name="_Toc21825"/>
      <w:bookmarkStart w:id="9" w:name="_Toc24757"/>
      <w:bookmarkStart w:id="10" w:name="_Toc11345"/>
      <w:bookmarkStart w:id="11" w:name="_Toc3065"/>
      <w:r>
        <w:rPr>
          <w:lang w:val="en-US" w:eastAsia="zh-CN"/>
        </w:rPr>
        <w:t xml:space="preserve">According to the simulation results, it can be observed that NES gains with TDD Cat1 and Cat2 power </w:t>
      </w:r>
      <w:r>
        <w:rPr>
          <w:rFonts w:hint="eastAsia"/>
          <w:lang w:val="en-US" w:eastAsia="zh-CN"/>
        </w:rPr>
        <w:t xml:space="preserve">consumption </w:t>
      </w:r>
      <w:r>
        <w:rPr>
          <w:lang w:val="en-US" w:eastAsia="zh-CN"/>
        </w:rPr>
        <w:t>model are 0.5%~5.63% and 0.39%~3.34% respectively under cases of SIB1 transmission rate of 0</w:t>
      </w:r>
      <w:r>
        <w:rPr>
          <w:rFonts w:hint="eastAsia"/>
          <w:lang w:val="en-US" w:eastAsia="zh-CN"/>
        </w:rPr>
        <w:t>~</w:t>
      </w:r>
      <w:r>
        <w:rPr>
          <w:lang w:val="en-US" w:eastAsia="zh-CN"/>
        </w:rPr>
        <w:t>75%.</w:t>
      </w:r>
      <w:bookmarkEnd w:id="6"/>
      <w:bookmarkEnd w:id="7"/>
      <w:bookmarkEnd w:id="8"/>
      <w:bookmarkEnd w:id="9"/>
      <w:bookmarkEnd w:id="10"/>
      <w:bookmarkEnd w:id="11"/>
    </w:p>
    <w:p>
      <w:pPr>
        <w:pStyle w:val="60"/>
        <w:tabs>
          <w:tab w:val="left" w:pos="1417"/>
          <w:tab w:val="left" w:pos="4820"/>
          <w:tab w:val="clear" w:pos="420"/>
        </w:tabs>
        <w:spacing w:before="120" w:after="120"/>
        <w:rPr>
          <w:rFonts w:eastAsia="宋体"/>
          <w:bCs w:val="0"/>
          <w:lang w:val="en-US" w:eastAsia="zh-CN"/>
        </w:rPr>
      </w:pPr>
      <w:bookmarkStart w:id="12" w:name="_Toc16306"/>
      <w:bookmarkStart w:id="13" w:name="_Toc21159"/>
      <w:bookmarkStart w:id="14" w:name="_Toc7119"/>
      <w:bookmarkStart w:id="15" w:name="_Toc16843"/>
      <w:bookmarkStart w:id="16" w:name="_Toc8521"/>
      <w:bookmarkStart w:id="17" w:name="_Toc29397"/>
      <w:r>
        <w:rPr>
          <w:lang w:val="en-US" w:eastAsia="zh-CN"/>
        </w:rPr>
        <w:t xml:space="preserve">NES gain is </w:t>
      </w:r>
      <w:r>
        <w:rPr>
          <w:rFonts w:hint="eastAsia"/>
          <w:lang w:val="en-US" w:eastAsia="zh-CN"/>
        </w:rPr>
        <w:t xml:space="preserve">reduced with the increase of </w:t>
      </w:r>
      <w:r>
        <w:rPr>
          <w:lang w:val="en-US" w:eastAsia="zh-CN"/>
        </w:rPr>
        <w:t xml:space="preserve">SIB1 transmission rate </w:t>
      </w:r>
      <w:r>
        <w:rPr>
          <w:rFonts w:hint="eastAsia"/>
          <w:lang w:val="en-US" w:eastAsia="zh-CN"/>
        </w:rPr>
        <w:t>and</w:t>
      </w:r>
      <w:r>
        <w:rPr>
          <w:lang w:val="en-US" w:eastAsia="zh-CN"/>
        </w:rPr>
        <w:t xml:space="preserve"> traffic load</w:t>
      </w:r>
      <w:bookmarkEnd w:id="12"/>
      <w:bookmarkEnd w:id="13"/>
      <w:bookmarkEnd w:id="14"/>
      <w:r>
        <w:rPr>
          <w:rFonts w:hint="eastAsia"/>
          <w:lang w:val="en-US" w:eastAsia="zh-CN"/>
        </w:rPr>
        <w:t>.</w:t>
      </w:r>
      <w:bookmarkEnd w:id="15"/>
      <w:bookmarkEnd w:id="16"/>
      <w:bookmarkEnd w:id="17"/>
      <w:r>
        <w:t xml:space="preserve"> </w:t>
      </w:r>
    </w:p>
    <w:p>
      <w:pPr>
        <w:spacing w:before="120" w:after="120"/>
      </w:pPr>
      <w:r>
        <w:rPr>
          <w:rFonts w:hint="eastAsia"/>
        </w:rPr>
        <w:t xml:space="preserve">As shown above, the on-demand SIB1 technique can provide </w:t>
      </w:r>
      <w:r>
        <w:t xml:space="preserve">very </w:t>
      </w:r>
      <w:r>
        <w:rPr>
          <w:rFonts w:hint="eastAsia"/>
        </w:rPr>
        <w:t>little energy saving gain.</w:t>
      </w:r>
    </w:p>
    <w:p>
      <w:pPr>
        <w:pStyle w:val="60"/>
        <w:tabs>
          <w:tab w:val="left" w:pos="1417"/>
          <w:tab w:val="left" w:pos="4820"/>
          <w:tab w:val="clear" w:pos="420"/>
        </w:tabs>
        <w:spacing w:before="120" w:after="120"/>
        <w:rPr>
          <w:lang w:val="en-US" w:eastAsia="zh-CN"/>
        </w:rPr>
      </w:pPr>
      <w:bookmarkStart w:id="18" w:name="_Toc21149"/>
      <w:bookmarkStart w:id="19" w:name="_Toc30622"/>
      <w:bookmarkStart w:id="20" w:name="_Toc1323"/>
      <w:bookmarkStart w:id="21" w:name="_Toc6864"/>
      <w:bookmarkStart w:id="22" w:name="_Toc9163"/>
      <w:r>
        <w:rPr>
          <w:rFonts w:hint="eastAsia"/>
          <w:lang w:val="en-US" w:eastAsia="zh-CN"/>
        </w:rPr>
        <w:t>Little NES gain can be obtained by on-demand SIB1.</w:t>
      </w:r>
      <w:bookmarkEnd w:id="18"/>
      <w:bookmarkEnd w:id="19"/>
      <w:bookmarkEnd w:id="20"/>
      <w:bookmarkEnd w:id="21"/>
      <w:bookmarkEnd w:id="22"/>
    </w:p>
    <w:p>
      <w:pPr>
        <w:spacing w:before="120" w:after="120"/>
      </w:pPr>
    </w:p>
    <w:p>
      <w:pPr>
        <w:pStyle w:val="2"/>
        <w:spacing w:before="120" w:after="120"/>
        <w:ind w:left="0"/>
        <w:rPr>
          <w:rFonts w:ascii="Times New Roman" w:hAnsi="Times New Roman"/>
          <w:b/>
          <w:bCs/>
          <w:sz w:val="28"/>
          <w:szCs w:val="28"/>
        </w:rPr>
      </w:pPr>
      <w:r>
        <w:rPr>
          <w:rFonts w:ascii="Times New Roman" w:hAnsi="Times New Roman" w:eastAsia="宋体"/>
          <w:b/>
          <w:bCs/>
          <w:sz w:val="28"/>
          <w:szCs w:val="28"/>
        </w:rPr>
        <w:t xml:space="preserve">Potential use cases for on-demand SIB1   </w:t>
      </w:r>
    </w:p>
    <w:p>
      <w:pPr>
        <w:spacing w:before="120" w:after="120"/>
      </w:pPr>
      <w:r>
        <w:rPr>
          <w:rFonts w:hint="eastAsia"/>
        </w:rPr>
        <w:t>In this section, the use cases for on-demand SIB1 are further clarified, including possible working mechanisms, the impact on existing protocols.</w:t>
      </w:r>
    </w:p>
    <w:p>
      <w:pPr>
        <w:spacing w:before="120" w:after="120"/>
      </w:pPr>
      <w:r>
        <w:rPr>
          <w:rFonts w:hint="eastAsia"/>
        </w:rPr>
        <w:t>Based on the discussion in RAN#102 and WID, the following use cases for on-demand SIB1</w:t>
      </w:r>
      <w:r>
        <w:t xml:space="preserve"> </w:t>
      </w:r>
      <w:r>
        <w:rPr>
          <w:rFonts w:hint="eastAsia"/>
        </w:rPr>
        <w:t>were summarized and discussed.</w:t>
      </w:r>
    </w:p>
    <w:p>
      <w:pPr>
        <w:numPr>
          <w:ilvl w:val="0"/>
          <w:numId w:val="9"/>
        </w:numPr>
        <w:spacing w:before="120" w:after="120"/>
      </w:pPr>
      <w:r>
        <w:rPr>
          <w:b/>
          <w:bCs/>
        </w:rPr>
        <w:t>Case 1-1:</w:t>
      </w:r>
      <w:r>
        <w:t xml:space="preserve"> Single cell case, on demand SIB1. </w:t>
      </w:r>
      <w:r>
        <w:rPr>
          <w:rFonts w:hint="eastAsia"/>
        </w:rPr>
        <w:t xml:space="preserve">UE camps on one cell, </w:t>
      </w:r>
      <w:r>
        <w:t xml:space="preserve">SSB </w:t>
      </w:r>
      <w:r>
        <w:rPr>
          <w:rFonts w:hint="eastAsia"/>
        </w:rPr>
        <w:t xml:space="preserve">of the current camping cell </w:t>
      </w:r>
      <w:r>
        <w:t>carriers the WUS configuration.</w:t>
      </w:r>
    </w:p>
    <w:p>
      <w:pPr>
        <w:spacing w:before="120" w:after="120"/>
        <w:ind w:left="420"/>
        <w:jc w:val="center"/>
      </w:pPr>
      <w:r>
        <w:drawing>
          <wp:inline distT="0" distB="0" distL="114300" distR="114300">
            <wp:extent cx="3215640" cy="1356360"/>
            <wp:effectExtent l="0" t="0" r="0"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15"/>
                    <a:stretch>
                      <a:fillRect/>
                    </a:stretch>
                  </pic:blipFill>
                  <pic:spPr>
                    <a:xfrm>
                      <a:off x="0" y="0"/>
                      <a:ext cx="3215640" cy="1356360"/>
                    </a:xfrm>
                    <a:prstGeom prst="rect">
                      <a:avLst/>
                    </a:prstGeom>
                    <a:noFill/>
                    <a:ln>
                      <a:noFill/>
                    </a:ln>
                  </pic:spPr>
                </pic:pic>
              </a:graphicData>
            </a:graphic>
          </wp:inline>
        </w:drawing>
      </w:r>
    </w:p>
    <w:p>
      <w:pPr>
        <w:spacing w:before="120" w:after="120"/>
        <w:ind w:left="420"/>
        <w:jc w:val="center"/>
      </w:pPr>
      <w:r>
        <w:t xml:space="preserve">Figure 3 </w:t>
      </w:r>
      <w:r>
        <w:rPr>
          <w:rFonts w:hint="eastAsia"/>
        </w:rPr>
        <w:t>Use case</w:t>
      </w:r>
      <w:r>
        <w:t xml:space="preserve"> 1-1</w:t>
      </w:r>
      <w:r>
        <w:rPr>
          <w:rFonts w:hint="eastAsia"/>
        </w:rPr>
        <w:t xml:space="preserve"> for on-demand SIB1</w:t>
      </w:r>
      <w:r>
        <w:t>: single cell</w:t>
      </w:r>
    </w:p>
    <w:p>
      <w:pPr>
        <w:numPr>
          <w:ilvl w:val="0"/>
          <w:numId w:val="9"/>
        </w:numPr>
        <w:spacing w:before="120" w:after="120"/>
      </w:pPr>
      <w:r>
        <w:rPr>
          <w:b/>
          <w:bCs/>
        </w:rPr>
        <w:t xml:space="preserve">Case 1-2: </w:t>
      </w:r>
      <w:r>
        <w:t xml:space="preserve">Single cell case, on demand SIB1. </w:t>
      </w:r>
      <w:r>
        <w:rPr>
          <w:rFonts w:hint="eastAsia"/>
        </w:rPr>
        <w:t>UE camps on one cell, but it</w:t>
      </w:r>
      <w:r>
        <w:t xml:space="preserve"> obtains the WUS configuration from other cells, e.g., from a coverage cell before camping on the </w:t>
      </w:r>
      <w:r>
        <w:rPr>
          <w:rFonts w:hint="eastAsia"/>
        </w:rPr>
        <w:t xml:space="preserve">current </w:t>
      </w:r>
      <w:r>
        <w:t>cell</w:t>
      </w:r>
      <w:r>
        <w:rPr>
          <w:rFonts w:hint="eastAsia"/>
        </w:rPr>
        <w:t>.</w:t>
      </w:r>
      <w:r>
        <w:t xml:space="preserve"> </w:t>
      </w:r>
    </w:p>
    <w:p>
      <w:pPr>
        <w:spacing w:before="120" w:after="120"/>
        <w:ind w:left="420"/>
        <w:jc w:val="center"/>
      </w:pPr>
      <w:r>
        <w:drawing>
          <wp:inline distT="0" distB="0" distL="114300" distR="114300">
            <wp:extent cx="3296920" cy="1849755"/>
            <wp:effectExtent l="0" t="0" r="10160" b="952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6"/>
                    <a:stretch>
                      <a:fillRect/>
                    </a:stretch>
                  </pic:blipFill>
                  <pic:spPr>
                    <a:xfrm>
                      <a:off x="0" y="0"/>
                      <a:ext cx="3296920" cy="1849755"/>
                    </a:xfrm>
                    <a:prstGeom prst="rect">
                      <a:avLst/>
                    </a:prstGeom>
                    <a:noFill/>
                    <a:ln>
                      <a:noFill/>
                    </a:ln>
                  </pic:spPr>
                </pic:pic>
              </a:graphicData>
            </a:graphic>
          </wp:inline>
        </w:drawing>
      </w:r>
    </w:p>
    <w:p>
      <w:pPr>
        <w:spacing w:before="120" w:after="120"/>
        <w:ind w:left="420"/>
        <w:jc w:val="center"/>
      </w:pPr>
      <w:r>
        <w:t xml:space="preserve">Figure 4 </w:t>
      </w:r>
      <w:r>
        <w:rPr>
          <w:rFonts w:hint="eastAsia"/>
        </w:rPr>
        <w:t>Use case</w:t>
      </w:r>
      <w:r>
        <w:t xml:space="preserve"> 1-2</w:t>
      </w:r>
      <w:r>
        <w:rPr>
          <w:rFonts w:hint="eastAsia"/>
        </w:rPr>
        <w:t xml:space="preserve"> for on-demand SIB1</w:t>
      </w:r>
      <w:r>
        <w:t>: single cell</w:t>
      </w:r>
    </w:p>
    <w:p>
      <w:pPr>
        <w:numPr>
          <w:ilvl w:val="0"/>
          <w:numId w:val="9"/>
        </w:numPr>
        <w:spacing w:before="120" w:after="120"/>
        <w:jc w:val="left"/>
      </w:pPr>
      <w:r>
        <w:rPr>
          <w:b/>
          <w:bCs/>
        </w:rPr>
        <w:t>Case 2</w:t>
      </w:r>
      <w:r>
        <w:rPr>
          <w:rFonts w:hint="eastAsia"/>
          <w:b/>
          <w:bCs/>
        </w:rPr>
        <w:t>:</w:t>
      </w:r>
      <w:r>
        <w:t xml:space="preserve"> Multi-cell case, on demand SIB1. WUS configuration is carried by SIB1 from anchor cell.</w:t>
      </w:r>
    </w:p>
    <w:p>
      <w:pPr>
        <w:spacing w:before="120" w:after="120"/>
        <w:jc w:val="center"/>
      </w:pPr>
      <w:bookmarkStart w:id="47" w:name="_GoBack"/>
      <w:r>
        <w:drawing>
          <wp:inline distT="0" distB="0" distL="114300" distR="114300">
            <wp:extent cx="5866130" cy="3587115"/>
            <wp:effectExtent l="0" t="0" r="1270" b="9525"/>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7"/>
                    <a:stretch>
                      <a:fillRect/>
                    </a:stretch>
                  </pic:blipFill>
                  <pic:spPr>
                    <a:xfrm>
                      <a:off x="0" y="0"/>
                      <a:ext cx="5866130" cy="3587115"/>
                    </a:xfrm>
                    <a:prstGeom prst="rect">
                      <a:avLst/>
                    </a:prstGeom>
                    <a:noFill/>
                    <a:ln>
                      <a:noFill/>
                    </a:ln>
                  </pic:spPr>
                </pic:pic>
              </a:graphicData>
            </a:graphic>
          </wp:inline>
        </w:drawing>
      </w:r>
      <w:bookmarkEnd w:id="47"/>
    </w:p>
    <w:p>
      <w:pPr>
        <w:spacing w:before="120" w:after="120"/>
        <w:jc w:val="center"/>
      </w:pPr>
      <w:r>
        <w:rPr>
          <w:rFonts w:hint="eastAsia"/>
        </w:rPr>
        <w:t xml:space="preserve">Figure </w:t>
      </w:r>
      <w:r>
        <w:t>5</w:t>
      </w:r>
      <w:r>
        <w:rPr>
          <w:rFonts w:hint="eastAsia"/>
        </w:rPr>
        <w:t xml:space="preserve"> Use case</w:t>
      </w:r>
      <w:r>
        <w:t xml:space="preserve"> 2</w:t>
      </w:r>
      <w:r>
        <w:rPr>
          <w:rFonts w:hint="eastAsia"/>
        </w:rPr>
        <w:t xml:space="preserve"> for on-demand SIB1</w:t>
      </w:r>
      <w:r>
        <w:t>: multi-cell</w:t>
      </w:r>
    </w:p>
    <w:p>
      <w:pPr>
        <w:spacing w:before="120" w:after="120"/>
      </w:pPr>
      <w:r>
        <w:t>It is noted that the “single cell” and “multi-cell” in the use case 1-1, 1-2 and 2 are defined from UE’s perspective. And both case 1-1 and case 1-2 are single cell cases, i.e., UE only connects to one cell in idle/inactive state. T</w:t>
      </w:r>
      <w:r>
        <w:rPr>
          <w:rFonts w:hint="eastAsia"/>
        </w:rPr>
        <w:t>he difference betw</w:t>
      </w:r>
      <w:r>
        <w:t xml:space="preserve">een </w:t>
      </w:r>
      <w:r>
        <w:rPr>
          <w:rFonts w:hint="eastAsia"/>
        </w:rPr>
        <w:t>case 1-1 and case 1-2</w:t>
      </w:r>
      <w:r>
        <w:t xml:space="preserve"> </w:t>
      </w:r>
      <w:r>
        <w:rPr>
          <w:rFonts w:hint="eastAsia"/>
        </w:rPr>
        <w:t>is how to obtain the WUS configuration of the on-demand SIB1 cell. In case 1-1, SSB is used to carry the WUS configuration so that that UEs can obtain the WUS configuration of an on-demand SIB1 cell when detects the SSB. However, SSB has fixed resources and the PBCH has only 1 reserved</w:t>
      </w:r>
      <w:r>
        <w:rPr>
          <w:rFonts w:hint="eastAsia"/>
          <w:u w:val="dotted"/>
        </w:rPr>
        <w:t xml:space="preserve"> </w:t>
      </w:r>
      <w:r>
        <w:rPr>
          <w:rFonts w:hint="eastAsia"/>
        </w:rPr>
        <w:t>bit, which makes it very difficult to use SSB to carry additional information. Besides, SSBs are the basis of cell search. The modification of SSBs has large impact on the initial access, especially for UEs that do not support on-demand SIB1.</w:t>
      </w:r>
    </w:p>
    <w:p>
      <w:pPr>
        <w:pStyle w:val="60"/>
        <w:tabs>
          <w:tab w:val="left" w:pos="1417"/>
          <w:tab w:val="left" w:pos="4820"/>
          <w:tab w:val="clear" w:pos="420"/>
        </w:tabs>
        <w:spacing w:before="120" w:after="120"/>
        <w:jc w:val="both"/>
        <w:rPr>
          <w:lang w:val="en-US" w:eastAsia="zh-CN"/>
        </w:rPr>
      </w:pPr>
      <w:bookmarkStart w:id="23" w:name="_Toc21437"/>
      <w:bookmarkStart w:id="24" w:name="_Toc6155"/>
      <w:bookmarkStart w:id="25" w:name="_Toc2550"/>
      <w:bookmarkStart w:id="26" w:name="_Toc17527"/>
      <w:r>
        <w:rPr>
          <w:rFonts w:hint="eastAsia"/>
          <w:lang w:val="en-US" w:eastAsia="zh-CN"/>
        </w:rPr>
        <w:t xml:space="preserve">The PBCH only has 1 reserved bit, which is not </w:t>
      </w:r>
      <w:r>
        <w:rPr>
          <w:lang w:val="en-US" w:eastAsia="zh-CN"/>
        </w:rPr>
        <w:t>sufficient</w:t>
      </w:r>
      <w:r>
        <w:rPr>
          <w:rFonts w:hint="eastAsia"/>
          <w:lang w:val="en-US" w:eastAsia="zh-CN"/>
        </w:rPr>
        <w:t xml:space="preserve"> to </w:t>
      </w:r>
      <w:r>
        <w:rPr>
          <w:lang w:val="en-US" w:eastAsia="zh-CN"/>
        </w:rPr>
        <w:t xml:space="preserve">carry </w:t>
      </w:r>
      <w:r>
        <w:rPr>
          <w:rFonts w:hint="eastAsia"/>
          <w:lang w:val="en-US" w:eastAsia="zh-CN"/>
        </w:rPr>
        <w:t xml:space="preserve">information of </w:t>
      </w:r>
      <w:r>
        <w:rPr>
          <w:lang w:val="en-US" w:eastAsia="zh-CN"/>
        </w:rPr>
        <w:t>WUS configuration</w:t>
      </w:r>
      <w:r>
        <w:rPr>
          <w:rFonts w:hint="eastAsia"/>
          <w:lang w:val="en-US" w:eastAsia="zh-CN"/>
        </w:rPr>
        <w:t xml:space="preserve"> for case 1-1</w:t>
      </w:r>
      <w:bookmarkEnd w:id="23"/>
      <w:r>
        <w:rPr>
          <w:rFonts w:hint="eastAsia"/>
          <w:lang w:val="en-US" w:eastAsia="zh-CN"/>
        </w:rPr>
        <w:t>.</w:t>
      </w:r>
      <w:bookmarkEnd w:id="24"/>
      <w:bookmarkEnd w:id="25"/>
      <w:bookmarkEnd w:id="26"/>
    </w:p>
    <w:p>
      <w:pPr>
        <w:spacing w:before="120" w:after="120"/>
      </w:pPr>
      <w:r>
        <w:rPr>
          <w:rFonts w:hint="eastAsia"/>
        </w:rPr>
        <w:t>In case 1-2, one of the potential scenarios is that UE is in mobility. The UE first camps on cell#1 and receives WUS configurations for one or more cells. Due to UE</w:t>
      </w:r>
      <w:r>
        <w:t>’</w:t>
      </w:r>
      <w:r>
        <w:rPr>
          <w:rFonts w:hint="eastAsia"/>
        </w:rPr>
        <w:t>s mobility or channel condition, the UE re</w:t>
      </w:r>
      <w:r>
        <w:t>-</w:t>
      </w:r>
      <w:r>
        <w:rPr>
          <w:rFonts w:hint="eastAsia"/>
        </w:rPr>
        <w:t xml:space="preserve">selects cell#2 for camping. However, there is only SSB transmission but no SIB1 transmission in the cell#2. Hence, UE sends WUS in cell #2 to trigger SIB1 for </w:t>
      </w:r>
      <w:r>
        <w:t xml:space="preserve">the </w:t>
      </w:r>
      <w:r>
        <w:rPr>
          <w:rFonts w:hint="eastAsia"/>
        </w:rPr>
        <w:t>necessary system information. In this case, the WUS configuration of the on-demand SIB1 cell is obtained from other cell, which can be a cell that UE accessed before moving to</w:t>
      </w:r>
      <w:r>
        <w:t xml:space="preserve"> or selecting</w:t>
      </w:r>
      <w:r>
        <w:rPr>
          <w:rFonts w:hint="eastAsia"/>
        </w:rPr>
        <w:t xml:space="preserve"> the on-demand SIB1 cell. </w:t>
      </w:r>
    </w:p>
    <w:p>
      <w:pPr>
        <w:spacing w:before="120" w:after="120"/>
      </w:pPr>
      <w:r>
        <w:rPr>
          <w:rFonts w:hint="eastAsia"/>
        </w:rPr>
        <w:t>I</w:t>
      </w:r>
      <w:r>
        <w:t>n addition, there are many issues need to be resolved for on-demand SIB1 in case 1-2. Some of them are listed as below.</w:t>
      </w:r>
    </w:p>
    <w:p>
      <w:pPr>
        <w:pStyle w:val="40"/>
        <w:numPr>
          <w:ilvl w:val="0"/>
          <w:numId w:val="10"/>
        </w:numPr>
        <w:spacing w:before="120" w:after="120"/>
        <w:rPr>
          <w:sz w:val="21"/>
          <w:szCs w:val="21"/>
        </w:rPr>
      </w:pPr>
      <w:r>
        <w:rPr>
          <w:sz w:val="21"/>
          <w:szCs w:val="21"/>
        </w:rPr>
        <w:t>How to configure WUS for multiple cells for idle/inactive UEs;</w:t>
      </w:r>
    </w:p>
    <w:p>
      <w:pPr>
        <w:pStyle w:val="40"/>
        <w:numPr>
          <w:ilvl w:val="0"/>
          <w:numId w:val="10"/>
        </w:numPr>
        <w:spacing w:before="120" w:after="120"/>
        <w:rPr>
          <w:sz w:val="21"/>
          <w:szCs w:val="21"/>
        </w:rPr>
      </w:pPr>
      <w:r>
        <w:rPr>
          <w:rFonts w:hint="eastAsia"/>
          <w:sz w:val="21"/>
          <w:szCs w:val="21"/>
        </w:rPr>
        <w:t>H</w:t>
      </w:r>
      <w:r>
        <w:rPr>
          <w:sz w:val="21"/>
          <w:szCs w:val="21"/>
        </w:rPr>
        <w:t>ow to transmit WUS in the cell only with SSB transmission;</w:t>
      </w:r>
    </w:p>
    <w:p>
      <w:pPr>
        <w:pStyle w:val="40"/>
        <w:numPr>
          <w:ilvl w:val="0"/>
          <w:numId w:val="10"/>
        </w:numPr>
        <w:spacing w:before="120" w:after="120"/>
        <w:rPr>
          <w:sz w:val="21"/>
          <w:szCs w:val="21"/>
        </w:rPr>
      </w:pPr>
      <w:r>
        <w:rPr>
          <w:sz w:val="21"/>
          <w:szCs w:val="21"/>
        </w:rPr>
        <w:t>Which existing signal/channel is appropriate to be reused as WUS indication;</w:t>
      </w:r>
    </w:p>
    <w:p>
      <w:pPr>
        <w:pStyle w:val="40"/>
        <w:numPr>
          <w:ilvl w:val="0"/>
          <w:numId w:val="10"/>
        </w:numPr>
        <w:spacing w:before="120" w:after="120"/>
        <w:rPr>
          <w:sz w:val="21"/>
          <w:szCs w:val="21"/>
        </w:rPr>
      </w:pPr>
      <w:r>
        <w:rPr>
          <w:sz w:val="21"/>
          <w:szCs w:val="21"/>
        </w:rPr>
        <w:t>How to reduce false wake-up of cell, or prevent BS from unexpected wake-up by false UEs;</w:t>
      </w:r>
    </w:p>
    <w:p>
      <w:pPr>
        <w:pStyle w:val="40"/>
        <w:numPr>
          <w:ilvl w:val="0"/>
          <w:numId w:val="10"/>
        </w:numPr>
        <w:spacing w:before="120" w:after="120"/>
        <w:rPr>
          <w:sz w:val="21"/>
          <w:szCs w:val="21"/>
        </w:rPr>
      </w:pPr>
      <w:r>
        <w:rPr>
          <w:sz w:val="21"/>
          <w:szCs w:val="21"/>
        </w:rPr>
        <w:t>UE’s behavior after on-demand SIB1 is triggered, etc.</w:t>
      </w:r>
    </w:p>
    <w:p>
      <w:pPr>
        <w:pStyle w:val="60"/>
        <w:tabs>
          <w:tab w:val="left" w:pos="1417"/>
          <w:tab w:val="left" w:pos="4820"/>
          <w:tab w:val="clear" w:pos="420"/>
        </w:tabs>
        <w:spacing w:before="120" w:after="120"/>
        <w:jc w:val="both"/>
        <w:rPr>
          <w:lang w:val="en-US" w:eastAsia="zh-CN"/>
        </w:rPr>
      </w:pPr>
      <w:bookmarkStart w:id="27" w:name="_Toc13825"/>
      <w:bookmarkStart w:id="28" w:name="_Toc29084"/>
      <w:bookmarkStart w:id="29" w:name="_Toc9986"/>
      <w:bookmarkStart w:id="30" w:name="_Toc23352"/>
      <w:r>
        <w:rPr>
          <w:rFonts w:hint="eastAsia"/>
          <w:lang w:val="en-US" w:eastAsia="zh-CN"/>
        </w:rPr>
        <w:t xml:space="preserve">It seems feasible that </w:t>
      </w:r>
      <w:r>
        <w:rPr>
          <w:lang w:val="en-US" w:eastAsia="zh-CN"/>
        </w:rPr>
        <w:t>UE obtains the WUS configuration from other cells</w:t>
      </w:r>
      <w:r>
        <w:rPr>
          <w:rFonts w:hint="eastAsia"/>
          <w:lang w:val="en-US" w:eastAsia="zh-CN"/>
        </w:rPr>
        <w:t xml:space="preserve"> before moving to the on-demand SIB1 cell.</w:t>
      </w:r>
      <w:bookmarkEnd w:id="27"/>
      <w:bookmarkEnd w:id="28"/>
      <w:bookmarkEnd w:id="29"/>
      <w:bookmarkEnd w:id="30"/>
    </w:p>
    <w:p>
      <w:pPr>
        <w:spacing w:before="120" w:after="120"/>
      </w:pPr>
      <w:r>
        <w:rPr>
          <w:rFonts w:hint="eastAsia"/>
        </w:rPr>
        <w:t xml:space="preserve">At last, for case 2, another cell (e.g., anchor cell) should be configured for associating with an on-demand SIB1 cell. UE receives the SIB1 of the anchor cell for acquiring WUS configuration for on-demand SIB1 cell and transmits WUS for on-demand SIB1 cell to trigger the SIB1 transmission on the on-demand SIB1 cell. While the </w:t>
      </w:r>
      <w:r>
        <w:t xml:space="preserve">motivation and </w:t>
      </w:r>
      <w:r>
        <w:rPr>
          <w:rFonts w:hint="eastAsia"/>
        </w:rPr>
        <w:t>procedures of UE triggering SIB1 transmission for on-demand SIB1 cells are not clear</w:t>
      </w:r>
      <w:r>
        <w:t xml:space="preserve"> in case 2</w:t>
      </w:r>
      <w:r>
        <w:rPr>
          <w:rFonts w:hint="eastAsia"/>
        </w:rPr>
        <w:t xml:space="preserve">. </w:t>
      </w:r>
    </w:p>
    <w:p>
      <w:pPr>
        <w:spacing w:before="120" w:after="120"/>
      </w:pPr>
      <w:r>
        <w:rPr>
          <w:rFonts w:hint="eastAsia"/>
        </w:rPr>
        <w:t>F</w:t>
      </w:r>
      <w:r>
        <w:t>or case 2, regarding the issues which cell is used to send WUS or transmit the triggered SIB1, the following four schemes are identified.</w:t>
      </w:r>
    </w:p>
    <w:p>
      <w:pPr>
        <w:pStyle w:val="40"/>
        <w:numPr>
          <w:ilvl w:val="0"/>
          <w:numId w:val="11"/>
        </w:numPr>
        <w:spacing w:before="120" w:after="120"/>
        <w:rPr>
          <w:sz w:val="21"/>
        </w:rPr>
      </w:pPr>
      <w:r>
        <w:rPr>
          <w:rFonts w:hint="eastAsia"/>
          <w:sz w:val="21"/>
        </w:rPr>
        <w:t>S</w:t>
      </w:r>
      <w:r>
        <w:rPr>
          <w:sz w:val="21"/>
        </w:rPr>
        <w:t>cheme 1: UE transmits WUS and receives SIB1 in camping cell, i.e., cell#1 as shown in Figure 5.</w:t>
      </w:r>
    </w:p>
    <w:p>
      <w:pPr>
        <w:pStyle w:val="40"/>
        <w:numPr>
          <w:ilvl w:val="0"/>
          <w:numId w:val="11"/>
        </w:numPr>
        <w:spacing w:before="120" w:after="120"/>
        <w:rPr>
          <w:sz w:val="21"/>
        </w:rPr>
      </w:pPr>
      <w:r>
        <w:rPr>
          <w:rFonts w:hint="eastAsia"/>
          <w:sz w:val="21"/>
        </w:rPr>
        <w:t>S</w:t>
      </w:r>
      <w:r>
        <w:rPr>
          <w:sz w:val="21"/>
        </w:rPr>
        <w:t>cheme 2: UE transmits WUS on the target cell (i.e., cell #2 in Figure 5) and receives SIB1 in camping cell (i.e., cell#1 in Figure 5).</w:t>
      </w:r>
    </w:p>
    <w:p>
      <w:pPr>
        <w:pStyle w:val="40"/>
        <w:numPr>
          <w:ilvl w:val="0"/>
          <w:numId w:val="11"/>
        </w:numPr>
        <w:spacing w:before="120" w:after="120"/>
        <w:rPr>
          <w:sz w:val="21"/>
        </w:rPr>
      </w:pPr>
      <w:r>
        <w:rPr>
          <w:rFonts w:hint="eastAsia"/>
          <w:sz w:val="21"/>
        </w:rPr>
        <w:t>S</w:t>
      </w:r>
      <w:r>
        <w:rPr>
          <w:sz w:val="21"/>
        </w:rPr>
        <w:t>cheme 3: UE transmits WUS in camping cell (i.e., cell#1</w:t>
      </w:r>
      <w:r>
        <w:rPr>
          <w:rFonts w:hint="eastAsia" w:eastAsia="宋体"/>
          <w:sz w:val="21"/>
          <w:lang w:val="en-US" w:eastAsia="zh-CN"/>
        </w:rPr>
        <w:t xml:space="preserve"> </w:t>
      </w:r>
      <w:r>
        <w:rPr>
          <w:sz w:val="21"/>
        </w:rPr>
        <w:t>in Figure 5) and receives SIB1 in target cell (i.e., cell#2</w:t>
      </w:r>
      <w:r>
        <w:rPr>
          <w:rFonts w:hint="eastAsia" w:eastAsia="宋体"/>
          <w:sz w:val="21"/>
          <w:lang w:val="en-US" w:eastAsia="zh-CN"/>
        </w:rPr>
        <w:t xml:space="preserve"> in Figure 5</w:t>
      </w:r>
      <w:r>
        <w:rPr>
          <w:sz w:val="21"/>
        </w:rPr>
        <w:t>).</w:t>
      </w:r>
    </w:p>
    <w:p>
      <w:pPr>
        <w:pStyle w:val="40"/>
        <w:numPr>
          <w:ilvl w:val="0"/>
          <w:numId w:val="11"/>
        </w:numPr>
        <w:spacing w:before="120" w:after="120"/>
        <w:rPr>
          <w:sz w:val="21"/>
        </w:rPr>
      </w:pPr>
      <w:r>
        <w:rPr>
          <w:rFonts w:hint="eastAsia"/>
          <w:sz w:val="21"/>
        </w:rPr>
        <w:t>S</w:t>
      </w:r>
      <w:r>
        <w:rPr>
          <w:sz w:val="21"/>
        </w:rPr>
        <w:t>cheme 4: UE transmits WUS and receives SIB1 in target cell, i.e., cell#2 in Figure 5.</w:t>
      </w:r>
    </w:p>
    <w:p>
      <w:pPr>
        <w:spacing w:before="120" w:after="120"/>
      </w:pPr>
      <w:r>
        <w:rPr>
          <w:rFonts w:hint="eastAsia"/>
        </w:rPr>
        <w:t xml:space="preserve">Regarding to </w:t>
      </w:r>
      <w:r>
        <w:t xml:space="preserve">the </w:t>
      </w:r>
      <w:r>
        <w:rPr>
          <w:rFonts w:hint="eastAsia"/>
        </w:rPr>
        <w:t>scheme 1, UE camps on and transmits the WUS on the cell</w:t>
      </w:r>
      <w:r>
        <w:t>#1,</w:t>
      </w:r>
      <w:r>
        <w:rPr>
          <w:rFonts w:hint="eastAsia"/>
        </w:rPr>
        <w:t xml:space="preserve"> </w:t>
      </w:r>
      <w:r>
        <w:t>instead of</w:t>
      </w:r>
      <w:r>
        <w:rPr>
          <w:rFonts w:hint="eastAsia"/>
        </w:rPr>
        <w:t xml:space="preserve"> on-demand SIB1 cell</w:t>
      </w:r>
      <w:r>
        <w:t xml:space="preserve"> (i.e., </w:t>
      </w:r>
      <w:r>
        <w:rPr>
          <w:rFonts w:hint="eastAsia"/>
        </w:rPr>
        <w:t>cell</w:t>
      </w:r>
      <w:r>
        <w:t>#2)</w:t>
      </w:r>
      <w:r>
        <w:rPr>
          <w:rFonts w:hint="eastAsia"/>
        </w:rPr>
        <w:t xml:space="preserve">. </w:t>
      </w:r>
      <w:r>
        <w:t>And</w:t>
      </w:r>
      <w:r>
        <w:rPr>
          <w:rFonts w:hint="eastAsia"/>
        </w:rPr>
        <w:t xml:space="preserve"> SIB1 </w:t>
      </w:r>
      <w:r>
        <w:t xml:space="preserve">of </w:t>
      </w:r>
      <w:r>
        <w:rPr>
          <w:rFonts w:hint="eastAsia"/>
        </w:rPr>
        <w:t>the on-demand SIB1 cell</w:t>
      </w:r>
      <w:r>
        <w:t>#2</w:t>
      </w:r>
      <w:r>
        <w:rPr>
          <w:rFonts w:hint="eastAsia"/>
        </w:rPr>
        <w:t xml:space="preserve"> </w:t>
      </w:r>
      <w:r>
        <w:t>needs to</w:t>
      </w:r>
      <w:r>
        <w:rPr>
          <w:rFonts w:hint="eastAsia"/>
        </w:rPr>
        <w:t xml:space="preserve"> be exchange</w:t>
      </w:r>
      <w:r>
        <w:t>d</w:t>
      </w:r>
      <w:r>
        <w:rPr>
          <w:rFonts w:hint="eastAsia"/>
        </w:rPr>
        <w:t xml:space="preserve"> between the gNBs</w:t>
      </w:r>
      <w:r>
        <w:t xml:space="preserve"> so that cell #1 can transmit SIB1 for cell#2.</w:t>
      </w:r>
      <w:r>
        <w:rPr>
          <w:rFonts w:hint="eastAsia"/>
        </w:rPr>
        <w:t xml:space="preserve"> In this situation, </w:t>
      </w:r>
      <w:r>
        <w:t xml:space="preserve">there is no additional NES gain compared with case 1-1/1-2. Moreover, since cell#1 can successfully receive UL WUS and transmit DL SIB1 information from/to UEs, the motivation for UEs to trigger </w:t>
      </w:r>
      <w:r>
        <w:rPr>
          <w:rFonts w:hint="eastAsia"/>
        </w:rPr>
        <w:t>on</w:t>
      </w:r>
      <w:r>
        <w:t>-demand SIB1 for cell#2 is unclear</w:t>
      </w:r>
      <w:r>
        <w:rPr>
          <w:rFonts w:hint="eastAsia"/>
        </w:rPr>
        <w:t xml:space="preserve">. </w:t>
      </w:r>
    </w:p>
    <w:p>
      <w:pPr>
        <w:numPr>
          <w:ilvl w:val="255"/>
          <w:numId w:val="0"/>
        </w:numPr>
        <w:spacing w:before="120" w:after="120"/>
      </w:pPr>
      <w:r>
        <w:rPr>
          <w:rFonts w:hint="eastAsia"/>
        </w:rPr>
        <w:t>Regarding to scheme 2, UE transmits the WUS to the on-demand SIB1 cell</w:t>
      </w:r>
      <w:r>
        <w:t>(cell#2) and</w:t>
      </w:r>
      <w:r>
        <w:rPr>
          <w:rFonts w:hint="eastAsia"/>
        </w:rPr>
        <w:t xml:space="preserve"> receives the SIB1 of cell</w:t>
      </w:r>
      <w:r>
        <w:t>#2 from another cell (cell#1)</w:t>
      </w:r>
      <w:r>
        <w:rPr>
          <w:rFonts w:hint="eastAsia"/>
        </w:rPr>
        <w:t xml:space="preserve">. </w:t>
      </w:r>
      <w:r>
        <w:t>In this situation, a close and timely coordination between gNBs is needed, i.e., cell#1 shall transmit SIB1 in response to the WUS received in cell#2 in a reasonable delay. However, this timely coordination is challenging via the interface among gNBs. Moreover, if the WUS and SIB1 transmission occur in d</w:t>
      </w:r>
      <w:r>
        <w:rPr>
          <w:rFonts w:hint="eastAsia"/>
        </w:rPr>
        <w:t>if</w:t>
      </w:r>
      <w:r>
        <w:t>ferent cell</w:t>
      </w:r>
      <w:r>
        <w:rPr>
          <w:rFonts w:hint="eastAsia"/>
        </w:rPr>
        <w:t>s</w:t>
      </w:r>
      <w:r>
        <w:t>, a follow-up issue will be which of the two cells to receive/transmit the fou</w:t>
      </w:r>
      <w:r>
        <w:rPr>
          <w:rFonts w:hint="eastAsia"/>
        </w:rPr>
        <w:t>r</w:t>
      </w:r>
      <w:r>
        <w:t xml:space="preserve"> or two messages in four or two-step-RACH for initial access. </w:t>
      </w:r>
    </w:p>
    <w:p>
      <w:pPr>
        <w:numPr>
          <w:ilvl w:val="255"/>
          <w:numId w:val="0"/>
        </w:numPr>
        <w:spacing w:before="120" w:after="120"/>
      </w:pPr>
      <w:r>
        <w:rPr>
          <w:rFonts w:hint="eastAsia"/>
        </w:rPr>
        <w:t>T</w:t>
      </w:r>
      <w:r>
        <w:t>he scheme 3 is similar with scheme 2.</w:t>
      </w:r>
    </w:p>
    <w:p>
      <w:pPr>
        <w:numPr>
          <w:ilvl w:val="255"/>
          <w:numId w:val="0"/>
        </w:numPr>
        <w:spacing w:before="120" w:after="120"/>
      </w:pPr>
      <w:r>
        <w:rPr>
          <w:rFonts w:hint="eastAsia"/>
        </w:rPr>
        <w:t>F</w:t>
      </w:r>
      <w:r>
        <w:t>or scheme 4, both of the WUS transmission and SIB1 reception happens in the target on-demand SIB1 cell (cell #2), the additional energy saving benefits and motivation to support scheme 4 of case 2 are unclear compared with case 1-1/1-2.</w:t>
      </w:r>
    </w:p>
    <w:p>
      <w:pPr>
        <w:numPr>
          <w:ilvl w:val="255"/>
          <w:numId w:val="0"/>
        </w:numPr>
        <w:spacing w:before="120" w:after="120"/>
      </w:pPr>
      <w:r>
        <w:t>Furthermore</w:t>
      </w:r>
      <w:r>
        <w:rPr>
          <w:rFonts w:hint="eastAsia"/>
        </w:rPr>
        <w:t>, a multi-cell framework similar to CA mechanism for connected mode UEs are needed</w:t>
      </w:r>
      <w:r>
        <w:t xml:space="preserve"> for the scheme 1~4 of case 2</w:t>
      </w:r>
      <w:r>
        <w:rPr>
          <w:rFonts w:hint="eastAsia"/>
        </w:rPr>
        <w:t>, which is not supported for RRC idle/inactive mode UEs in the current protocol. Therefore, lots of protocol changes with multiple WGs involvement</w:t>
      </w:r>
      <w:r>
        <w:t xml:space="preserve"> </w:t>
      </w:r>
      <w:r>
        <w:rPr>
          <w:rFonts w:hint="eastAsia"/>
        </w:rPr>
        <w:t>are needed</w:t>
      </w:r>
      <w:r>
        <w:t xml:space="preserve"> for case 2</w:t>
      </w:r>
      <w:r>
        <w:rPr>
          <w:rFonts w:hint="eastAsia"/>
        </w:rPr>
        <w:t xml:space="preserve">. </w:t>
      </w:r>
    </w:p>
    <w:p>
      <w:pPr>
        <w:pStyle w:val="60"/>
        <w:tabs>
          <w:tab w:val="left" w:pos="1417"/>
          <w:tab w:val="left" w:pos="4820"/>
          <w:tab w:val="clear" w:pos="420"/>
        </w:tabs>
        <w:spacing w:before="120" w:after="120"/>
        <w:jc w:val="both"/>
        <w:rPr>
          <w:lang w:val="en-US" w:eastAsia="zh-CN"/>
        </w:rPr>
      </w:pPr>
      <w:bookmarkStart w:id="31" w:name="_Toc18313"/>
      <w:bookmarkStart w:id="32" w:name="_Toc12884"/>
      <w:bookmarkStart w:id="33" w:name="_Toc24408"/>
      <w:r>
        <w:rPr>
          <w:lang w:val="en-US" w:eastAsia="zh-CN"/>
        </w:rPr>
        <w:t>Regarding the on-demand SIB1 cells for multi-cell (case 2), the following issues are identified:</w:t>
      </w:r>
      <w:bookmarkEnd w:id="31"/>
      <w:bookmarkEnd w:id="32"/>
    </w:p>
    <w:bookmarkEnd w:id="33"/>
    <w:p>
      <w:pPr>
        <w:pStyle w:val="60"/>
        <w:numPr>
          <w:ilvl w:val="0"/>
          <w:numId w:val="12"/>
        </w:numPr>
        <w:tabs>
          <w:tab w:val="left" w:pos="1417"/>
          <w:tab w:val="left" w:pos="4820"/>
          <w:tab w:val="clear" w:pos="420"/>
        </w:tabs>
        <w:spacing w:before="120" w:after="120"/>
        <w:jc w:val="both"/>
        <w:rPr>
          <w:lang w:val="en-US" w:eastAsia="zh-CN"/>
        </w:rPr>
      </w:pPr>
      <w:bookmarkStart w:id="34" w:name="_Toc31774"/>
      <w:bookmarkStart w:id="35" w:name="_Toc2515"/>
      <w:r>
        <w:rPr>
          <w:lang w:val="en-US" w:eastAsia="zh-CN"/>
        </w:rPr>
        <w:t>Procedures and motivations are unclear;</w:t>
      </w:r>
      <w:bookmarkEnd w:id="34"/>
      <w:bookmarkEnd w:id="35"/>
    </w:p>
    <w:p>
      <w:pPr>
        <w:pStyle w:val="60"/>
        <w:numPr>
          <w:ilvl w:val="0"/>
          <w:numId w:val="12"/>
        </w:numPr>
        <w:tabs>
          <w:tab w:val="left" w:pos="1417"/>
          <w:tab w:val="left" w:pos="4820"/>
          <w:tab w:val="clear" w:pos="420"/>
        </w:tabs>
        <w:spacing w:before="120" w:after="120"/>
        <w:jc w:val="both"/>
        <w:rPr>
          <w:lang w:val="en-US" w:eastAsia="zh-CN"/>
        </w:rPr>
      </w:pPr>
      <w:bookmarkStart w:id="36" w:name="_Toc24722"/>
      <w:bookmarkStart w:id="37" w:name="_Toc8206"/>
      <w:r>
        <w:rPr>
          <w:lang w:val="en-US" w:eastAsia="zh-CN"/>
        </w:rPr>
        <w:t>Close and timely coordination among gNBs is required;</w:t>
      </w:r>
      <w:bookmarkEnd w:id="36"/>
      <w:bookmarkEnd w:id="37"/>
    </w:p>
    <w:p>
      <w:pPr>
        <w:pStyle w:val="60"/>
        <w:numPr>
          <w:ilvl w:val="0"/>
          <w:numId w:val="12"/>
        </w:numPr>
        <w:tabs>
          <w:tab w:val="left" w:pos="1417"/>
          <w:tab w:val="left" w:pos="4820"/>
          <w:tab w:val="clear" w:pos="420"/>
        </w:tabs>
        <w:spacing w:before="120" w:after="120"/>
        <w:jc w:val="both"/>
        <w:rPr>
          <w:lang w:val="en-US" w:eastAsia="zh-CN"/>
        </w:rPr>
      </w:pPr>
      <w:bookmarkStart w:id="38" w:name="_Toc11689"/>
      <w:bookmarkStart w:id="39" w:name="_Toc7818"/>
      <w:r>
        <w:rPr>
          <w:rFonts w:hint="eastAsia"/>
          <w:lang w:val="en-US" w:eastAsia="zh-CN"/>
        </w:rPr>
        <w:t>N</w:t>
      </w:r>
      <w:r>
        <w:rPr>
          <w:lang w:val="en-US" w:eastAsia="zh-CN"/>
        </w:rPr>
        <w:t>o additional NES gain is observed compared with singe cell case (case 1-1/1-2);</w:t>
      </w:r>
      <w:bookmarkEnd w:id="38"/>
      <w:bookmarkStart w:id="40" w:name="_Toc19742"/>
      <w:bookmarkStart w:id="41" w:name="_Toc1902"/>
    </w:p>
    <w:p>
      <w:pPr>
        <w:pStyle w:val="60"/>
        <w:numPr>
          <w:ilvl w:val="0"/>
          <w:numId w:val="12"/>
        </w:numPr>
        <w:tabs>
          <w:tab w:val="left" w:pos="1417"/>
          <w:tab w:val="left" w:pos="4820"/>
          <w:tab w:val="clear" w:pos="420"/>
        </w:tabs>
        <w:spacing w:before="120" w:after="120"/>
        <w:jc w:val="both"/>
        <w:rPr>
          <w:lang w:val="en-US" w:eastAsia="zh-CN"/>
        </w:rPr>
      </w:pPr>
      <w:bookmarkStart w:id="42" w:name="_Toc24742"/>
      <w:r>
        <w:rPr>
          <w:rFonts w:hint="eastAsia"/>
          <w:lang w:val="en-US" w:eastAsia="zh-CN"/>
        </w:rPr>
        <w:t>H</w:t>
      </w:r>
      <w:r>
        <w:rPr>
          <w:lang w:val="en-US" w:eastAsia="zh-CN"/>
        </w:rPr>
        <w:t>uge standardization</w:t>
      </w:r>
      <w:r>
        <w:rPr>
          <w:rFonts w:hint="eastAsia"/>
          <w:lang w:val="en-US" w:eastAsia="zh-CN"/>
        </w:rPr>
        <w:t xml:space="preserve"> </w:t>
      </w:r>
      <w:r>
        <w:rPr>
          <w:lang w:val="en-US" w:eastAsia="zh-CN"/>
        </w:rPr>
        <w:t xml:space="preserve">workload of </w:t>
      </w:r>
      <w:r>
        <w:rPr>
          <w:rFonts w:hint="eastAsia"/>
          <w:lang w:val="en-US" w:eastAsia="zh-CN"/>
        </w:rPr>
        <w:t>multiple WGs are needed for</w:t>
      </w:r>
      <w:r>
        <w:rPr>
          <w:lang w:val="en-US" w:eastAsia="zh-CN"/>
        </w:rPr>
        <w:t xml:space="preserve"> multi-cell </w:t>
      </w:r>
      <w:r>
        <w:rPr>
          <w:rFonts w:hint="eastAsia"/>
          <w:lang w:val="en-US" w:eastAsia="zh-CN"/>
        </w:rPr>
        <w:t>operation for idle/inactive mode UEs</w:t>
      </w:r>
      <w:r>
        <w:rPr>
          <w:lang w:val="en-US" w:eastAsia="zh-CN"/>
        </w:rPr>
        <w:t>.</w:t>
      </w:r>
      <w:bookmarkEnd w:id="39"/>
      <w:bookmarkEnd w:id="40"/>
      <w:bookmarkEnd w:id="41"/>
      <w:bookmarkEnd w:id="42"/>
    </w:p>
    <w:p>
      <w:pPr>
        <w:spacing w:before="120" w:after="120"/>
      </w:pPr>
      <w:r>
        <w:t>Most importantly, i</w:t>
      </w:r>
      <w:r>
        <w:rPr>
          <w:rFonts w:hint="eastAsia"/>
        </w:rPr>
        <w:t>t is observed that there is little</w:t>
      </w:r>
      <w:r>
        <w:t xml:space="preserve"> energy</w:t>
      </w:r>
      <w:r>
        <w:rPr>
          <w:rFonts w:hint="eastAsia"/>
        </w:rPr>
        <w:t xml:space="preserve"> saving gain provided by on-demand SIB1 cell. And compared with the single cell scenario, the workload in case 2 (multi-cell case) is larger, and more standardization work is required, the benefits of multi-cell scenario are unclear.</w:t>
      </w:r>
    </w:p>
    <w:p>
      <w:pPr>
        <w:pStyle w:val="61"/>
        <w:spacing w:before="120" w:after="120"/>
        <w:jc w:val="both"/>
        <w:rPr>
          <w:lang w:val="en-US" w:eastAsia="zh-CN"/>
        </w:rPr>
      </w:pPr>
      <w:bookmarkStart w:id="43" w:name="_Toc15278"/>
      <w:bookmarkStart w:id="44" w:name="_Toc14075"/>
      <w:bookmarkStart w:id="45" w:name="_Toc4796"/>
      <w:bookmarkStart w:id="46" w:name="_Toc2120"/>
      <w:r>
        <w:rPr>
          <w:rFonts w:hint="eastAsia"/>
          <w:lang w:val="en-US" w:eastAsia="zh-CN"/>
        </w:rPr>
        <w:t xml:space="preserve">The study of the </w:t>
      </w:r>
      <w:r>
        <w:rPr>
          <w:lang w:val="en-US" w:eastAsia="zh-CN"/>
        </w:rPr>
        <w:t xml:space="preserve">on-demand SIB1 </w:t>
      </w:r>
      <w:r>
        <w:rPr>
          <w:lang w:eastAsia="zh-CN"/>
        </w:rPr>
        <w:t>for UEs in idle</w:t>
      </w:r>
      <w:r>
        <w:t>/inactive</w:t>
      </w:r>
      <w:r>
        <w:rPr>
          <w:lang w:eastAsia="zh-CN"/>
        </w:rPr>
        <w:t xml:space="preserve"> mode</w:t>
      </w:r>
      <w:r>
        <w:rPr>
          <w:rFonts w:hint="eastAsia"/>
          <w:lang w:val="en-US" w:eastAsia="zh-CN"/>
        </w:rPr>
        <w:t xml:space="preserve"> for multi-cell case should be excluded.</w:t>
      </w:r>
      <w:bookmarkEnd w:id="43"/>
      <w:bookmarkEnd w:id="44"/>
      <w:bookmarkEnd w:id="45"/>
    </w:p>
    <w:bookmarkEnd w:id="46"/>
    <w:p>
      <w:pPr>
        <w:pStyle w:val="61"/>
        <w:numPr>
          <w:ilvl w:val="0"/>
          <w:numId w:val="0"/>
        </w:numPr>
        <w:spacing w:before="120" w:after="120"/>
        <w:jc w:val="both"/>
        <w:rPr>
          <w:lang w:val="en-US" w:eastAsia="zh-CN"/>
        </w:rPr>
      </w:pP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Conclusion</w:t>
      </w:r>
    </w:p>
    <w:p>
      <w:pPr>
        <w:spacing w:before="120" w:after="120"/>
      </w:pPr>
      <w:r>
        <w:t>In this contribution, we have the following observations</w:t>
      </w:r>
      <w:r>
        <w:rPr>
          <w:rFonts w:hint="eastAsia"/>
        </w:rPr>
        <w:t xml:space="preserve"> and </w:t>
      </w:r>
      <w:r>
        <w:t>proposals:</w:t>
      </w:r>
    </w:p>
    <w:p>
      <w:pPr>
        <w:pStyle w:val="20"/>
        <w:tabs>
          <w:tab w:val="right" w:leader="dot" w:pos="9660"/>
          <w:tab w:val="clear" w:pos="0"/>
        </w:tabs>
      </w:pPr>
      <w:r>
        <w:rPr>
          <w:i w:val="0"/>
          <w:iCs w:val="0"/>
          <w:sz w:val="21"/>
          <w:szCs w:val="22"/>
        </w:rPr>
        <w:fldChar w:fldCharType="begin"/>
      </w:r>
      <w:r>
        <w:rPr>
          <w:i w:val="0"/>
          <w:iCs w:val="0"/>
          <w:sz w:val="21"/>
          <w:szCs w:val="22"/>
        </w:rPr>
        <w:instrText xml:space="preserve">TOC \n  \t "YJ-Observation,1,sub-observation,2,3rd level observation,3" \h</w:instrText>
      </w:r>
      <w:r>
        <w:rPr>
          <w:i w:val="0"/>
          <w:iCs w:val="0"/>
          <w:sz w:val="21"/>
          <w:szCs w:val="22"/>
        </w:rPr>
        <w:fldChar w:fldCharType="separate"/>
      </w:r>
      <w:r>
        <w:rPr>
          <w:szCs w:val="22"/>
        </w:rPr>
        <w:fldChar w:fldCharType="begin"/>
      </w:r>
      <w:r>
        <w:rPr>
          <w:szCs w:val="22"/>
        </w:rPr>
        <w:instrText xml:space="preserve"> HYPERLINK \l _Toc3065 </w:instrText>
      </w:r>
      <w:r>
        <w:rPr>
          <w:szCs w:val="22"/>
        </w:rPr>
        <w:fldChar w:fldCharType="separate"/>
      </w:r>
      <w:r>
        <w:rPr>
          <w:rFonts w:hint="default" w:ascii="Times New Roman" w:hAnsi="Times New Roman" w:eastAsia="宋体" w:cs="Times New Roman"/>
          <w:bCs/>
          <w:i/>
          <w:iCs/>
          <w:lang w:val="en-US" w:eastAsia="zh-CN"/>
        </w:rPr>
        <w:t xml:space="preserve">Observation 1: </w:t>
      </w:r>
      <w:r>
        <w:rPr>
          <w:lang w:val="en-US" w:eastAsia="zh-CN"/>
        </w:rPr>
        <w:t xml:space="preserve">According to the simulation results, it can be observed that NES gains with TDD Cat1 and Cat2 power </w:t>
      </w:r>
      <w:r>
        <w:rPr>
          <w:rFonts w:hint="eastAsia"/>
          <w:lang w:val="en-US" w:eastAsia="zh-CN"/>
        </w:rPr>
        <w:t xml:space="preserve">consumption </w:t>
      </w:r>
      <w:r>
        <w:rPr>
          <w:lang w:val="en-US" w:eastAsia="zh-CN"/>
        </w:rPr>
        <w:t>model are 0.5%~5.63% and 0.39%~3.34% respectively under cases of SIB1 transmission rate of 0</w:t>
      </w:r>
      <w:r>
        <w:rPr>
          <w:rFonts w:hint="eastAsia"/>
          <w:lang w:val="en-US" w:eastAsia="zh-CN"/>
        </w:rPr>
        <w:t>~</w:t>
      </w:r>
      <w:r>
        <w:rPr>
          <w:lang w:val="en-US" w:eastAsia="zh-CN"/>
        </w:rPr>
        <w:t>75%.</w:t>
      </w:r>
      <w:r>
        <w:rPr>
          <w:szCs w:val="22"/>
        </w:rPr>
        <w:fldChar w:fldCharType="end"/>
      </w:r>
    </w:p>
    <w:p>
      <w:pPr>
        <w:pStyle w:val="20"/>
        <w:tabs>
          <w:tab w:val="right" w:leader="dot" w:pos="9660"/>
          <w:tab w:val="clear" w:pos="0"/>
        </w:tabs>
      </w:pPr>
      <w:r>
        <w:rPr>
          <w:szCs w:val="22"/>
        </w:rPr>
        <w:fldChar w:fldCharType="begin"/>
      </w:r>
      <w:r>
        <w:rPr>
          <w:szCs w:val="22"/>
        </w:rPr>
        <w:instrText xml:space="preserve"> HYPERLINK \l _Toc29397 </w:instrText>
      </w:r>
      <w:r>
        <w:rPr>
          <w:szCs w:val="22"/>
        </w:rPr>
        <w:fldChar w:fldCharType="separate"/>
      </w:r>
      <w:r>
        <w:rPr>
          <w:rFonts w:hint="default" w:ascii="Times New Roman" w:hAnsi="Times New Roman" w:eastAsia="宋体" w:cs="Times New Roman"/>
          <w:bCs/>
          <w:i/>
          <w:iCs/>
          <w:lang w:val="en-US"/>
        </w:rPr>
        <w:t xml:space="preserve">Observation 2: </w:t>
      </w:r>
      <w:r>
        <w:rPr>
          <w:lang w:val="en-US" w:eastAsia="zh-CN"/>
        </w:rPr>
        <w:t xml:space="preserve">NES gain is </w:t>
      </w:r>
      <w:r>
        <w:rPr>
          <w:rFonts w:hint="eastAsia"/>
          <w:lang w:val="en-US" w:eastAsia="zh-CN"/>
        </w:rPr>
        <w:t xml:space="preserve">reduced with the increase of </w:t>
      </w:r>
      <w:r>
        <w:rPr>
          <w:lang w:val="en-US" w:eastAsia="zh-CN"/>
        </w:rPr>
        <w:t xml:space="preserve">SIB1 transmission rate </w:t>
      </w:r>
      <w:r>
        <w:rPr>
          <w:rFonts w:hint="eastAsia"/>
          <w:lang w:val="en-US" w:eastAsia="zh-CN"/>
        </w:rPr>
        <w:t>and</w:t>
      </w:r>
      <w:r>
        <w:rPr>
          <w:lang w:val="en-US" w:eastAsia="zh-CN"/>
        </w:rPr>
        <w:t xml:space="preserve"> traffic load</w:t>
      </w:r>
      <w:r>
        <w:rPr>
          <w:rFonts w:hint="eastAsia"/>
          <w:lang w:val="en-US" w:eastAsia="zh-CN"/>
        </w:rPr>
        <w:t>.</w:t>
      </w:r>
      <w:r>
        <w:rPr>
          <w:szCs w:val="22"/>
        </w:rPr>
        <w:fldChar w:fldCharType="end"/>
      </w:r>
    </w:p>
    <w:p>
      <w:pPr>
        <w:pStyle w:val="20"/>
        <w:tabs>
          <w:tab w:val="right" w:leader="dot" w:pos="9660"/>
          <w:tab w:val="clear" w:pos="0"/>
        </w:tabs>
      </w:pPr>
      <w:r>
        <w:rPr>
          <w:szCs w:val="22"/>
        </w:rPr>
        <w:fldChar w:fldCharType="begin"/>
      </w:r>
      <w:r>
        <w:rPr>
          <w:szCs w:val="22"/>
        </w:rPr>
        <w:instrText xml:space="preserve"> HYPERLINK \l _Toc9163 </w:instrText>
      </w:r>
      <w:r>
        <w:rPr>
          <w:szCs w:val="22"/>
        </w:rPr>
        <w:fldChar w:fldCharType="separate"/>
      </w:r>
      <w:r>
        <w:rPr>
          <w:rFonts w:hint="default" w:ascii="Times New Roman" w:hAnsi="Times New Roman" w:eastAsia="宋体" w:cs="Times New Roman"/>
          <w:bCs/>
          <w:i/>
          <w:iCs/>
          <w:lang w:val="en-US" w:eastAsia="zh-CN"/>
        </w:rPr>
        <w:t xml:space="preserve">Observation 3: </w:t>
      </w:r>
      <w:r>
        <w:rPr>
          <w:rFonts w:hint="eastAsia"/>
          <w:lang w:val="en-US" w:eastAsia="zh-CN"/>
        </w:rPr>
        <w:t>Little NES gain can be obtained by on-demand SIB1.</w:t>
      </w:r>
      <w:r>
        <w:rPr>
          <w:szCs w:val="22"/>
        </w:rPr>
        <w:fldChar w:fldCharType="end"/>
      </w:r>
    </w:p>
    <w:p>
      <w:pPr>
        <w:pStyle w:val="20"/>
        <w:tabs>
          <w:tab w:val="right" w:leader="dot" w:pos="9660"/>
          <w:tab w:val="clear" w:pos="0"/>
        </w:tabs>
      </w:pPr>
      <w:r>
        <w:rPr>
          <w:szCs w:val="22"/>
        </w:rPr>
        <w:fldChar w:fldCharType="begin"/>
      </w:r>
      <w:r>
        <w:rPr>
          <w:szCs w:val="22"/>
        </w:rPr>
        <w:instrText xml:space="preserve"> HYPERLINK \l _Toc17527 </w:instrText>
      </w:r>
      <w:r>
        <w:rPr>
          <w:szCs w:val="22"/>
        </w:rPr>
        <w:fldChar w:fldCharType="separate"/>
      </w:r>
      <w:r>
        <w:rPr>
          <w:rFonts w:hint="default" w:ascii="Times New Roman" w:hAnsi="Times New Roman" w:eastAsia="宋体" w:cs="Times New Roman"/>
          <w:bCs/>
          <w:i/>
          <w:iCs/>
          <w:lang w:val="en-US" w:eastAsia="zh-CN"/>
        </w:rPr>
        <w:t xml:space="preserve">Observation 4: </w:t>
      </w:r>
      <w:r>
        <w:rPr>
          <w:rFonts w:hint="eastAsia"/>
          <w:lang w:val="en-US" w:eastAsia="zh-CN"/>
        </w:rPr>
        <w:t xml:space="preserve">The PBCH only has 1 reserved bit, which is not </w:t>
      </w:r>
      <w:r>
        <w:rPr>
          <w:lang w:val="en-US" w:eastAsia="zh-CN"/>
        </w:rPr>
        <w:t>sufficient</w:t>
      </w:r>
      <w:r>
        <w:rPr>
          <w:rFonts w:hint="eastAsia"/>
          <w:lang w:val="en-US" w:eastAsia="zh-CN"/>
        </w:rPr>
        <w:t xml:space="preserve"> to </w:t>
      </w:r>
      <w:r>
        <w:rPr>
          <w:lang w:val="en-US" w:eastAsia="zh-CN"/>
        </w:rPr>
        <w:t xml:space="preserve">carry </w:t>
      </w:r>
      <w:r>
        <w:rPr>
          <w:rFonts w:hint="eastAsia"/>
          <w:lang w:val="en-US" w:eastAsia="zh-CN"/>
        </w:rPr>
        <w:t xml:space="preserve">information of </w:t>
      </w:r>
      <w:r>
        <w:rPr>
          <w:lang w:val="en-US" w:eastAsia="zh-CN"/>
        </w:rPr>
        <w:t>WUS configuration</w:t>
      </w:r>
      <w:r>
        <w:rPr>
          <w:rFonts w:hint="eastAsia"/>
          <w:lang w:val="en-US" w:eastAsia="zh-CN"/>
        </w:rPr>
        <w:t xml:space="preserve"> for case 1-1.</w:t>
      </w:r>
      <w:r>
        <w:rPr>
          <w:szCs w:val="22"/>
        </w:rPr>
        <w:fldChar w:fldCharType="end"/>
      </w:r>
    </w:p>
    <w:p>
      <w:pPr>
        <w:pStyle w:val="20"/>
        <w:tabs>
          <w:tab w:val="right" w:leader="dot" w:pos="9660"/>
          <w:tab w:val="clear" w:pos="0"/>
        </w:tabs>
      </w:pPr>
      <w:r>
        <w:rPr>
          <w:szCs w:val="22"/>
        </w:rPr>
        <w:fldChar w:fldCharType="begin"/>
      </w:r>
      <w:r>
        <w:rPr>
          <w:szCs w:val="22"/>
        </w:rPr>
        <w:instrText xml:space="preserve"> HYPERLINK \l _Toc23352 </w:instrText>
      </w:r>
      <w:r>
        <w:rPr>
          <w:szCs w:val="22"/>
        </w:rPr>
        <w:fldChar w:fldCharType="separate"/>
      </w:r>
      <w:r>
        <w:rPr>
          <w:rFonts w:hint="default" w:ascii="Times New Roman" w:hAnsi="Times New Roman" w:eastAsia="宋体" w:cs="Times New Roman"/>
          <w:bCs/>
          <w:i/>
          <w:iCs/>
          <w:lang w:val="en-US" w:eastAsia="zh-CN"/>
        </w:rPr>
        <w:t xml:space="preserve">Observation 5: </w:t>
      </w:r>
      <w:r>
        <w:rPr>
          <w:rFonts w:hint="eastAsia"/>
          <w:lang w:val="en-US" w:eastAsia="zh-CN"/>
        </w:rPr>
        <w:t xml:space="preserve">It seems feasible that </w:t>
      </w:r>
      <w:r>
        <w:rPr>
          <w:lang w:val="en-US" w:eastAsia="zh-CN"/>
        </w:rPr>
        <w:t>UE obtains the WUS configuration from other cells</w:t>
      </w:r>
      <w:r>
        <w:rPr>
          <w:rFonts w:hint="eastAsia"/>
          <w:lang w:val="en-US" w:eastAsia="zh-CN"/>
        </w:rPr>
        <w:t xml:space="preserve"> before moving to the on-demand SIB1 cell.</w:t>
      </w:r>
      <w:r>
        <w:rPr>
          <w:szCs w:val="22"/>
        </w:rPr>
        <w:fldChar w:fldCharType="end"/>
      </w:r>
    </w:p>
    <w:p>
      <w:pPr>
        <w:pStyle w:val="20"/>
        <w:tabs>
          <w:tab w:val="right" w:leader="dot" w:pos="9660"/>
          <w:tab w:val="clear" w:pos="0"/>
        </w:tabs>
      </w:pPr>
      <w:r>
        <w:rPr>
          <w:szCs w:val="22"/>
        </w:rPr>
        <w:fldChar w:fldCharType="begin"/>
      </w:r>
      <w:r>
        <w:rPr>
          <w:szCs w:val="22"/>
        </w:rPr>
        <w:instrText xml:space="preserve"> HYPERLINK \l _Toc12884 </w:instrText>
      </w:r>
      <w:r>
        <w:rPr>
          <w:szCs w:val="22"/>
        </w:rPr>
        <w:fldChar w:fldCharType="separate"/>
      </w:r>
      <w:r>
        <w:rPr>
          <w:rFonts w:hint="default" w:ascii="Times New Roman" w:hAnsi="Times New Roman" w:eastAsia="宋体" w:cs="Times New Roman"/>
          <w:bCs/>
          <w:i/>
          <w:iCs/>
          <w:lang w:val="en-US" w:eastAsia="zh-CN"/>
        </w:rPr>
        <w:t xml:space="preserve">Observation 6: </w:t>
      </w:r>
      <w:r>
        <w:rPr>
          <w:lang w:val="en-US" w:eastAsia="zh-CN"/>
        </w:rPr>
        <w:t>Regarding the on-demand SIB1 cells for multi-cell (case 2), the following issues are identified:</w:t>
      </w:r>
      <w:r>
        <w:rPr>
          <w:szCs w:val="22"/>
        </w:rPr>
        <w:fldChar w:fldCharType="end"/>
      </w:r>
    </w:p>
    <w:p>
      <w:pPr>
        <w:pStyle w:val="20"/>
        <w:tabs>
          <w:tab w:val="right" w:leader="dot" w:pos="9660"/>
          <w:tab w:val="clear" w:pos="0"/>
        </w:tabs>
      </w:pPr>
      <w:r>
        <w:rPr>
          <w:szCs w:val="22"/>
        </w:rPr>
        <w:fldChar w:fldCharType="begin"/>
      </w:r>
      <w:r>
        <w:rPr>
          <w:szCs w:val="22"/>
        </w:rPr>
        <w:instrText xml:space="preserve"> HYPERLINK \l _Toc2515 </w:instrText>
      </w:r>
      <w:r>
        <w:rPr>
          <w:szCs w:val="22"/>
        </w:rPr>
        <w:fldChar w:fldCharType="separate"/>
      </w:r>
      <w:r>
        <w:rPr>
          <w:rFonts w:hint="default" w:ascii="Wingdings" w:hAnsi="Wingdings"/>
          <w:lang w:val="en-US" w:eastAsia="zh-CN"/>
        </w:rPr>
        <w:t xml:space="preserve"> </w:t>
      </w:r>
      <w:r>
        <w:rPr>
          <w:lang w:val="en-US" w:eastAsia="zh-CN"/>
        </w:rPr>
        <w:t>Procedures and motivations are unclear;</w:t>
      </w:r>
      <w:r>
        <w:rPr>
          <w:szCs w:val="22"/>
        </w:rPr>
        <w:fldChar w:fldCharType="end"/>
      </w:r>
    </w:p>
    <w:p>
      <w:pPr>
        <w:pStyle w:val="20"/>
        <w:tabs>
          <w:tab w:val="right" w:leader="dot" w:pos="9660"/>
          <w:tab w:val="clear" w:pos="0"/>
        </w:tabs>
      </w:pPr>
      <w:r>
        <w:rPr>
          <w:szCs w:val="22"/>
        </w:rPr>
        <w:fldChar w:fldCharType="begin"/>
      </w:r>
      <w:r>
        <w:rPr>
          <w:szCs w:val="22"/>
        </w:rPr>
        <w:instrText xml:space="preserve"> HYPERLINK \l _Toc8206 </w:instrText>
      </w:r>
      <w:r>
        <w:rPr>
          <w:szCs w:val="22"/>
        </w:rPr>
        <w:fldChar w:fldCharType="separate"/>
      </w:r>
      <w:r>
        <w:rPr>
          <w:rFonts w:hint="default" w:ascii="Wingdings" w:hAnsi="Wingdings"/>
          <w:lang w:val="en-US" w:eastAsia="zh-CN"/>
        </w:rPr>
        <w:t xml:space="preserve"> </w:t>
      </w:r>
      <w:r>
        <w:rPr>
          <w:lang w:val="en-US" w:eastAsia="zh-CN"/>
        </w:rPr>
        <w:t>Close and timely coordination among gNBs is required;</w:t>
      </w:r>
      <w:r>
        <w:rPr>
          <w:szCs w:val="22"/>
        </w:rPr>
        <w:fldChar w:fldCharType="end"/>
      </w:r>
    </w:p>
    <w:p>
      <w:pPr>
        <w:pStyle w:val="20"/>
        <w:tabs>
          <w:tab w:val="right" w:leader="dot" w:pos="9660"/>
          <w:tab w:val="clear" w:pos="0"/>
        </w:tabs>
      </w:pPr>
      <w:r>
        <w:rPr>
          <w:szCs w:val="22"/>
        </w:rPr>
        <w:fldChar w:fldCharType="begin"/>
      </w:r>
      <w:r>
        <w:rPr>
          <w:szCs w:val="22"/>
        </w:rPr>
        <w:instrText xml:space="preserve"> HYPERLINK \l _Toc11689 </w:instrText>
      </w:r>
      <w:r>
        <w:rPr>
          <w:szCs w:val="22"/>
        </w:rPr>
        <w:fldChar w:fldCharType="separate"/>
      </w:r>
      <w:r>
        <w:rPr>
          <w:rFonts w:hint="default" w:ascii="Wingdings" w:hAnsi="Wingdings"/>
          <w:lang w:val="en-US" w:eastAsia="zh-CN"/>
        </w:rPr>
        <w:t xml:space="preserve"> </w:t>
      </w:r>
      <w:r>
        <w:rPr>
          <w:rFonts w:hint="eastAsia"/>
          <w:lang w:val="en-US" w:eastAsia="zh-CN"/>
        </w:rPr>
        <w:t>N</w:t>
      </w:r>
      <w:r>
        <w:rPr>
          <w:lang w:val="en-US" w:eastAsia="zh-CN"/>
        </w:rPr>
        <w:t>o additional NES gain is observed compared with singe cell case (case 1-1/1-2);</w:t>
      </w:r>
      <w:r>
        <w:rPr>
          <w:szCs w:val="22"/>
        </w:rPr>
        <w:fldChar w:fldCharType="end"/>
      </w:r>
    </w:p>
    <w:p>
      <w:pPr>
        <w:pStyle w:val="20"/>
        <w:tabs>
          <w:tab w:val="right" w:leader="dot" w:pos="9660"/>
          <w:tab w:val="clear" w:pos="0"/>
        </w:tabs>
      </w:pPr>
      <w:r>
        <w:rPr>
          <w:szCs w:val="22"/>
        </w:rPr>
        <w:fldChar w:fldCharType="begin"/>
      </w:r>
      <w:r>
        <w:rPr>
          <w:szCs w:val="22"/>
        </w:rPr>
        <w:instrText xml:space="preserve"> HYPERLINK \l _Toc24742 </w:instrText>
      </w:r>
      <w:r>
        <w:rPr>
          <w:szCs w:val="22"/>
        </w:rPr>
        <w:fldChar w:fldCharType="separate"/>
      </w:r>
      <w:r>
        <w:rPr>
          <w:rFonts w:hint="default" w:ascii="Wingdings" w:hAnsi="Wingdings"/>
          <w:lang w:val="en-US" w:eastAsia="zh-CN"/>
        </w:rPr>
        <w:t xml:space="preserve"> </w:t>
      </w:r>
      <w:r>
        <w:rPr>
          <w:rFonts w:hint="eastAsia"/>
          <w:lang w:val="en-US" w:eastAsia="zh-CN"/>
        </w:rPr>
        <w:t>H</w:t>
      </w:r>
      <w:r>
        <w:rPr>
          <w:lang w:val="en-US" w:eastAsia="zh-CN"/>
        </w:rPr>
        <w:t>uge standardization</w:t>
      </w:r>
      <w:r>
        <w:rPr>
          <w:rFonts w:hint="eastAsia"/>
          <w:lang w:val="en-US" w:eastAsia="zh-CN"/>
        </w:rPr>
        <w:t xml:space="preserve"> </w:t>
      </w:r>
      <w:r>
        <w:rPr>
          <w:lang w:val="en-US" w:eastAsia="zh-CN"/>
        </w:rPr>
        <w:t xml:space="preserve">workload of </w:t>
      </w:r>
      <w:r>
        <w:rPr>
          <w:rFonts w:hint="eastAsia"/>
          <w:lang w:val="en-US" w:eastAsia="zh-CN"/>
        </w:rPr>
        <w:t>multiple WGs are needed for</w:t>
      </w:r>
      <w:r>
        <w:rPr>
          <w:lang w:val="en-US" w:eastAsia="zh-CN"/>
        </w:rPr>
        <w:t xml:space="preserve"> multi-cell </w:t>
      </w:r>
      <w:r>
        <w:rPr>
          <w:rFonts w:hint="eastAsia"/>
          <w:lang w:val="en-US" w:eastAsia="zh-CN"/>
        </w:rPr>
        <w:t>operation for idle/inactive mode UEs</w:t>
      </w:r>
      <w:r>
        <w:rPr>
          <w:lang w:val="en-US" w:eastAsia="zh-CN"/>
        </w:rPr>
        <w:t>.</w:t>
      </w:r>
      <w:r>
        <w:rPr>
          <w:szCs w:val="22"/>
        </w:rPr>
        <w:fldChar w:fldCharType="end"/>
      </w:r>
    </w:p>
    <w:p>
      <w:pPr>
        <w:spacing w:before="120" w:after="120"/>
      </w:pPr>
      <w:r>
        <w:rPr>
          <w:szCs w:val="22"/>
        </w:rPr>
        <w:fldChar w:fldCharType="end"/>
      </w:r>
    </w:p>
    <w:p>
      <w:pPr>
        <w:pStyle w:val="20"/>
        <w:tabs>
          <w:tab w:val="right" w:leader="dot" w:pos="9660"/>
          <w:tab w:val="clear" w:pos="0"/>
        </w:tabs>
      </w:pPr>
      <w:r>
        <w:rPr>
          <w:highlight w:val="yellow"/>
        </w:rPr>
        <w:fldChar w:fldCharType="begin"/>
      </w:r>
      <w:r>
        <w:rPr>
          <w:highlight w:val="yellow"/>
        </w:rPr>
        <w:instrText xml:space="preserve">TOC \n  \t "YJ-Proposal,1,sub-proposal,2,3rd level proposal,3" \h</w:instrText>
      </w:r>
      <w:r>
        <w:rPr>
          <w:highlight w:val="yellow"/>
        </w:rPr>
        <w:fldChar w:fldCharType="separate"/>
      </w:r>
      <w:r>
        <w:rPr>
          <w:highlight w:val="yellow"/>
        </w:rPr>
        <w:fldChar w:fldCharType="begin"/>
      </w:r>
      <w:r>
        <w:rPr>
          <w:highlight w:val="yellow"/>
        </w:rPr>
        <w:instrText xml:space="preserve"> HYPERLINK \l _Toc11731 </w:instrText>
      </w:r>
      <w:r>
        <w:rPr>
          <w:highlight w:val="yellow"/>
        </w:rPr>
        <w:fldChar w:fldCharType="separate"/>
      </w:r>
      <w:r>
        <w:rPr>
          <w:rFonts w:hint="default" w:ascii="Times New Roman" w:hAnsi="Times New Roman" w:eastAsia="宋体" w:cs="Times New Roman"/>
          <w:bCs/>
          <w:i/>
          <w:iCs/>
          <w:lang w:val="en-US" w:eastAsia="zh-CN"/>
        </w:rPr>
        <w:t xml:space="preserve">Proposal 1: </w:t>
      </w:r>
      <w:r>
        <w:rPr>
          <w:rFonts w:hint="eastAsia"/>
          <w:lang w:val="en-US" w:eastAsia="zh-CN"/>
        </w:rPr>
        <w:t>If on-demand SIB1 for UEs in idle/inactive mode is</w:t>
      </w:r>
      <w:r>
        <w:rPr>
          <w:lang w:val="en-US" w:eastAsia="zh-CN"/>
        </w:rPr>
        <w:t xml:space="preserve"> </w:t>
      </w:r>
      <w:r>
        <w:rPr>
          <w:rFonts w:hint="eastAsia"/>
          <w:lang w:val="en-US" w:eastAsia="zh-CN"/>
        </w:rPr>
        <w:t xml:space="preserve">significantly </w:t>
      </w:r>
      <w:r>
        <w:rPr>
          <w:lang w:val="en-US" w:eastAsia="zh-CN"/>
        </w:rPr>
        <w:t>beneficial for network energy savings</w:t>
      </w:r>
      <w:r>
        <w:rPr>
          <w:rFonts w:hint="eastAsia"/>
          <w:lang w:val="en-US" w:eastAsia="zh-CN"/>
        </w:rPr>
        <w:t>, the normative work can be considered.</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_Toc4796 </w:instrText>
      </w:r>
      <w:r>
        <w:rPr>
          <w:highlight w:val="yellow"/>
        </w:rPr>
        <w:fldChar w:fldCharType="separate"/>
      </w:r>
      <w:r>
        <w:rPr>
          <w:rFonts w:hint="default" w:ascii="Times New Roman" w:hAnsi="Times New Roman" w:eastAsia="宋体" w:cs="Times New Roman"/>
          <w:bCs/>
          <w:i/>
          <w:iCs/>
          <w:lang w:val="en-US" w:eastAsia="zh-CN"/>
        </w:rPr>
        <w:t xml:space="preserve">Proposal 2: </w:t>
      </w:r>
      <w:r>
        <w:rPr>
          <w:rFonts w:hint="eastAsia"/>
          <w:lang w:val="en-US" w:eastAsia="zh-CN"/>
        </w:rPr>
        <w:t xml:space="preserve">The study of the </w:t>
      </w:r>
      <w:r>
        <w:rPr>
          <w:lang w:val="en-US" w:eastAsia="zh-CN"/>
        </w:rPr>
        <w:t xml:space="preserve">on-demand SIB1 </w:t>
      </w:r>
      <w:r>
        <w:rPr>
          <w:lang w:eastAsia="zh-CN"/>
        </w:rPr>
        <w:t>for UEs in idle</w:t>
      </w:r>
      <w:r>
        <w:t>/inactive</w:t>
      </w:r>
      <w:r>
        <w:rPr>
          <w:lang w:eastAsia="zh-CN"/>
        </w:rPr>
        <w:t xml:space="preserve"> mode</w:t>
      </w:r>
      <w:r>
        <w:rPr>
          <w:rFonts w:hint="eastAsia"/>
          <w:lang w:val="en-US" w:eastAsia="zh-CN"/>
        </w:rPr>
        <w:t xml:space="preserve"> for multi-cell case should be excluded.</w:t>
      </w:r>
      <w:r>
        <w:rPr>
          <w:highlight w:val="yellow"/>
        </w:rPr>
        <w:fldChar w:fldCharType="end"/>
      </w:r>
    </w:p>
    <w:p>
      <w:pPr>
        <w:spacing w:before="120" w:after="120"/>
        <w:rPr>
          <w:highlight w:val="yellow"/>
        </w:rPr>
      </w:pPr>
      <w:r>
        <w:rPr>
          <w:highlight w:val="yellow"/>
        </w:rPr>
        <w:fldChar w:fldCharType="end"/>
      </w: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References</w:t>
      </w:r>
    </w:p>
    <w:p>
      <w:pPr>
        <w:pStyle w:val="39"/>
        <w:spacing w:before="120" w:after="120"/>
        <w:ind w:left="363" w:hanging="363"/>
      </w:pPr>
      <w:r>
        <w:t>RP234056, “New WID: Enhancements of network energy savings for NR”, 3GPP TSG RAN #102, 2023-11.</w:t>
      </w:r>
    </w:p>
    <w:p>
      <w:pPr>
        <w:pStyle w:val="39"/>
        <w:spacing w:before="120" w:after="120"/>
        <w:ind w:left="363" w:hanging="363"/>
      </w:pPr>
      <w:r>
        <w:t>TR 38.864, Study on network energy savings for NR. 2022-12.</w:t>
      </w:r>
    </w:p>
    <w:p>
      <w:pPr>
        <w:pStyle w:val="39"/>
        <w:numPr>
          <w:ilvl w:val="0"/>
          <w:numId w:val="0"/>
        </w:numPr>
        <w:spacing w:before="120" w:after="120"/>
      </w:pPr>
    </w:p>
    <w:p>
      <w:pPr>
        <w:pStyle w:val="2"/>
        <w:spacing w:before="120" w:after="120"/>
        <w:ind w:left="0"/>
        <w:rPr>
          <w:rFonts w:ascii="Times New Roman" w:hAnsi="Times New Roman"/>
          <w:b/>
          <w:bCs/>
          <w:sz w:val="28"/>
          <w:szCs w:val="28"/>
        </w:rPr>
      </w:pPr>
      <w:r>
        <w:rPr>
          <w:rFonts w:ascii="Times New Roman" w:hAnsi="Times New Roman" w:eastAsia="宋体"/>
          <w:b/>
          <w:bCs/>
          <w:sz w:val="28"/>
          <w:szCs w:val="28"/>
        </w:rPr>
        <w:t>Appendix</w:t>
      </w:r>
    </w:p>
    <w:p>
      <w:pPr>
        <w:pStyle w:val="12"/>
        <w:spacing w:before="120" w:after="120"/>
        <w:jc w:val="center"/>
        <w:rPr>
          <w:rFonts w:ascii="Times New Roman" w:hAnsi="Times New Roman"/>
          <w:sz w:val="21"/>
          <w:szCs w:val="21"/>
        </w:rPr>
      </w:pPr>
      <w:r>
        <w:rPr>
          <w:rFonts w:ascii="Times New Roman" w:hAnsi="Times New Roman"/>
          <w:sz w:val="21"/>
          <w:szCs w:val="21"/>
        </w:rPr>
        <w:t>Table A1 Relative power values for reference configuration set 1/2/3</w:t>
      </w:r>
    </w:p>
    <w:tbl>
      <w:tblPr>
        <w:tblStyle w:val="25"/>
        <w:tblW w:w="8122"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261"/>
        <w:gridCol w:w="1054"/>
        <w:gridCol w:w="1214"/>
        <w:gridCol w:w="1134"/>
        <w:gridCol w:w="1134"/>
        <w:gridCol w:w="1276"/>
        <w:gridCol w:w="1049"/>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11" w:hRule="atLeast"/>
          <w:jc w:val="center"/>
        </w:trPr>
        <w:tc>
          <w:tcPr>
            <w:tcW w:w="1261" w:type="dxa"/>
            <w:vMerge w:val="restart"/>
            <w:tcBorders>
              <w:top w:val="double" w:color="A5A5A5" w:sz="4" w:space="0"/>
              <w:left w:val="double" w:color="A5A5A5" w:sz="4" w:space="0"/>
              <w:right w:val="double" w:color="A5A5A5" w:sz="4" w:space="0"/>
            </w:tcBorders>
          </w:tcPr>
          <w:p>
            <w:pPr>
              <w:spacing w:before="120" w:after="120"/>
              <w:jc w:val="center"/>
              <w:rPr>
                <w:szCs w:val="21"/>
              </w:rPr>
            </w:pPr>
            <w:r>
              <w:rPr>
                <w:rFonts w:eastAsia="Malgun Gothic"/>
                <w:b/>
                <w:bCs/>
                <w:szCs w:val="21"/>
              </w:rPr>
              <w:t>Power state</w:t>
            </w:r>
          </w:p>
        </w:tc>
        <w:tc>
          <w:tcPr>
            <w:tcW w:w="3402" w:type="dxa"/>
            <w:gridSpan w:val="3"/>
            <w:tcBorders>
              <w:top w:val="double" w:color="A5A5A5" w:sz="4" w:space="0"/>
              <w:left w:val="double" w:color="A5A5A5" w:sz="4" w:space="0"/>
              <w:right w:val="double" w:color="A5A5A5" w:sz="4" w:space="0"/>
            </w:tcBorders>
          </w:tcPr>
          <w:p>
            <w:pPr>
              <w:spacing w:before="120" w:after="120"/>
              <w:jc w:val="center"/>
              <w:rPr>
                <w:rFonts w:eastAsia="Malgun Gothic"/>
                <w:b/>
                <w:bCs/>
                <w:szCs w:val="21"/>
              </w:rPr>
            </w:pPr>
            <w:r>
              <w:rPr>
                <w:rFonts w:eastAsia="Malgun Gothic"/>
                <w:b/>
                <w:bCs/>
                <w:szCs w:val="21"/>
              </w:rPr>
              <w:t xml:space="preserve">Relative Power </w:t>
            </w:r>
            <w:r>
              <w:rPr>
                <w:rFonts w:eastAsia="Malgun Gothic"/>
                <w:b/>
                <w:bCs/>
                <w:i/>
                <w:szCs w:val="21"/>
              </w:rPr>
              <w:t>P</w:t>
            </w:r>
            <w:r>
              <w:rPr>
                <w:rFonts w:eastAsia="Malgun Gothic"/>
                <w:b/>
                <w:bCs/>
                <w:szCs w:val="21"/>
              </w:rPr>
              <w:t xml:space="preserve"> for Category 1</w:t>
            </w:r>
          </w:p>
        </w:tc>
        <w:tc>
          <w:tcPr>
            <w:tcW w:w="3459" w:type="dxa"/>
            <w:gridSpan w:val="3"/>
            <w:tcBorders>
              <w:top w:val="double" w:color="A5A5A5" w:sz="4" w:space="0"/>
              <w:left w:val="double" w:color="A5A5A5" w:sz="4" w:space="0"/>
              <w:bottom w:val="double" w:color="A5A5A5" w:sz="4" w:space="0"/>
              <w:right w:val="double" w:color="A5A5A5" w:sz="4" w:space="0"/>
            </w:tcBorders>
          </w:tcPr>
          <w:p>
            <w:pPr>
              <w:spacing w:before="120" w:after="120"/>
              <w:jc w:val="center"/>
              <w:rPr>
                <w:rFonts w:eastAsia="Malgun Gothic"/>
                <w:b/>
                <w:bCs/>
                <w:szCs w:val="21"/>
              </w:rPr>
            </w:pPr>
            <w:r>
              <w:rPr>
                <w:rFonts w:eastAsia="Malgun Gothic"/>
                <w:b/>
                <w:bCs/>
                <w:szCs w:val="21"/>
              </w:rPr>
              <w:t xml:space="preserve">Relative Power </w:t>
            </w:r>
            <w:r>
              <w:rPr>
                <w:rFonts w:eastAsia="Malgun Gothic"/>
                <w:b/>
                <w:bCs/>
                <w:i/>
                <w:szCs w:val="21"/>
              </w:rPr>
              <w:t xml:space="preserve">P </w:t>
            </w:r>
            <w:r>
              <w:rPr>
                <w:rFonts w:eastAsia="Malgun Gothic"/>
                <w:b/>
                <w:bCs/>
                <w:szCs w:val="21"/>
              </w:rPr>
              <w:t>for Category 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331" w:hRule="atLeast"/>
          <w:jc w:val="center"/>
        </w:trPr>
        <w:tc>
          <w:tcPr>
            <w:tcW w:w="1261" w:type="dxa"/>
            <w:vMerge w:val="continue"/>
            <w:tcBorders>
              <w:left w:val="double" w:color="A5A5A5" w:sz="4" w:space="0"/>
              <w:bottom w:val="double" w:color="A5A5A5" w:sz="4" w:space="0"/>
              <w:right w:val="double" w:color="A5A5A5" w:sz="4" w:space="0"/>
            </w:tcBorders>
            <w:vAlign w:val="center"/>
          </w:tcPr>
          <w:p>
            <w:pPr>
              <w:spacing w:before="120" w:after="120"/>
              <w:jc w:val="center"/>
              <w:rPr>
                <w:szCs w:val="21"/>
              </w:rPr>
            </w:pPr>
          </w:p>
        </w:tc>
        <w:tc>
          <w:tcPr>
            <w:tcW w:w="1054" w:type="dxa"/>
            <w:tcBorders>
              <w:left w:val="double" w:color="A5A5A5" w:sz="4" w:space="0"/>
              <w:bottom w:val="double" w:color="A5A5A5" w:sz="4" w:space="0"/>
              <w:right w:val="double" w:color="A5A5A5" w:sz="4" w:space="0"/>
            </w:tcBorders>
          </w:tcPr>
          <w:p>
            <w:pPr>
              <w:spacing w:before="120" w:after="120"/>
              <w:jc w:val="center"/>
              <w:rPr>
                <w:b/>
                <w:szCs w:val="21"/>
              </w:rPr>
            </w:pPr>
            <w:r>
              <w:rPr>
                <w:b/>
                <w:szCs w:val="21"/>
              </w:rPr>
              <w:t>Set 1</w:t>
            </w:r>
          </w:p>
        </w:tc>
        <w:tc>
          <w:tcPr>
            <w:tcW w:w="1214" w:type="dxa"/>
            <w:tcBorders>
              <w:top w:val="double" w:color="A5A5A5" w:sz="4" w:space="0"/>
              <w:left w:val="double" w:color="A5A5A5" w:sz="4" w:space="0"/>
              <w:bottom w:val="double" w:color="A5A5A5" w:sz="4" w:space="0"/>
              <w:right w:val="double" w:color="A5A5A5" w:sz="4" w:space="0"/>
            </w:tcBorders>
          </w:tcPr>
          <w:p>
            <w:pPr>
              <w:spacing w:before="120" w:after="120"/>
              <w:jc w:val="center"/>
              <w:rPr>
                <w:b/>
                <w:szCs w:val="21"/>
              </w:rPr>
            </w:pPr>
            <w:r>
              <w:rPr>
                <w:b/>
                <w:szCs w:val="21"/>
              </w:rPr>
              <w:t>Set 2</w:t>
            </w:r>
          </w:p>
        </w:tc>
        <w:tc>
          <w:tcPr>
            <w:tcW w:w="1134" w:type="dxa"/>
            <w:tcBorders>
              <w:top w:val="double" w:color="A5A5A5" w:sz="4" w:space="0"/>
              <w:left w:val="double" w:color="A5A5A5" w:sz="4" w:space="0"/>
              <w:bottom w:val="double" w:color="A5A5A5" w:sz="4" w:space="0"/>
              <w:right w:val="double" w:color="A5A5A5" w:sz="4" w:space="0"/>
            </w:tcBorders>
          </w:tcPr>
          <w:p>
            <w:pPr>
              <w:spacing w:before="120" w:after="120"/>
              <w:jc w:val="center"/>
              <w:rPr>
                <w:b/>
                <w:szCs w:val="21"/>
              </w:rPr>
            </w:pPr>
            <w:r>
              <w:rPr>
                <w:b/>
                <w:szCs w:val="21"/>
              </w:rPr>
              <w:t>Set 3</w:t>
            </w:r>
          </w:p>
        </w:tc>
        <w:tc>
          <w:tcPr>
            <w:tcW w:w="1134" w:type="dxa"/>
            <w:tcBorders>
              <w:top w:val="double" w:color="A5A5A5" w:sz="4" w:space="0"/>
              <w:left w:val="double" w:color="A5A5A5" w:sz="4" w:space="0"/>
              <w:bottom w:val="double" w:color="A5A5A5" w:sz="4" w:space="0"/>
              <w:right w:val="double" w:color="A5A5A5" w:sz="4" w:space="0"/>
            </w:tcBorders>
          </w:tcPr>
          <w:p>
            <w:pPr>
              <w:spacing w:before="120" w:after="120"/>
              <w:jc w:val="center"/>
              <w:rPr>
                <w:b/>
                <w:szCs w:val="21"/>
              </w:rPr>
            </w:pPr>
            <w:r>
              <w:rPr>
                <w:b/>
                <w:szCs w:val="21"/>
              </w:rPr>
              <w:t>Set 1</w:t>
            </w:r>
          </w:p>
        </w:tc>
        <w:tc>
          <w:tcPr>
            <w:tcW w:w="1276" w:type="dxa"/>
            <w:tcBorders>
              <w:top w:val="double" w:color="A5A5A5" w:sz="4" w:space="0"/>
              <w:left w:val="double" w:color="A5A5A5" w:sz="4" w:space="0"/>
              <w:bottom w:val="double" w:color="A5A5A5" w:sz="4" w:space="0"/>
              <w:right w:val="double" w:color="A5A5A5" w:sz="4" w:space="0"/>
            </w:tcBorders>
          </w:tcPr>
          <w:p>
            <w:pPr>
              <w:spacing w:before="120" w:after="120"/>
              <w:jc w:val="center"/>
              <w:rPr>
                <w:b/>
                <w:szCs w:val="21"/>
              </w:rPr>
            </w:pPr>
            <w:r>
              <w:rPr>
                <w:b/>
                <w:szCs w:val="21"/>
              </w:rPr>
              <w:t>Set 2</w:t>
            </w:r>
          </w:p>
        </w:tc>
        <w:tc>
          <w:tcPr>
            <w:tcW w:w="1049" w:type="dxa"/>
            <w:tcBorders>
              <w:top w:val="double" w:color="A5A5A5" w:sz="4" w:space="0"/>
              <w:left w:val="double" w:color="A5A5A5" w:sz="4" w:space="0"/>
              <w:bottom w:val="double" w:color="A5A5A5" w:sz="4" w:space="0"/>
              <w:right w:val="double" w:color="A5A5A5" w:sz="4" w:space="0"/>
            </w:tcBorders>
          </w:tcPr>
          <w:p>
            <w:pPr>
              <w:spacing w:before="120" w:after="120"/>
              <w:jc w:val="center"/>
              <w:rPr>
                <w:b/>
                <w:szCs w:val="21"/>
              </w:rPr>
            </w:pPr>
            <w:r>
              <w:rPr>
                <w:b/>
                <w:szCs w:val="21"/>
              </w:rPr>
              <w:t>Set 3</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99" w:hRule="atLeast"/>
          <w:jc w:val="center"/>
        </w:trPr>
        <w:tc>
          <w:tcPr>
            <w:tcW w:w="1261" w:type="dxa"/>
            <w:tcBorders>
              <w:top w:val="double" w:color="A5A5A5" w:sz="4" w:space="0"/>
              <w:left w:val="double" w:color="A5A5A5" w:sz="4" w:space="0"/>
              <w:bottom w:val="double" w:color="A5A5A5" w:sz="4" w:space="0"/>
              <w:right w:val="double" w:color="A5A5A5" w:sz="4" w:space="0"/>
            </w:tcBorders>
            <w:vAlign w:val="center"/>
          </w:tcPr>
          <w:p>
            <w:pPr>
              <w:spacing w:before="120" w:after="120"/>
              <w:jc w:val="center"/>
              <w:rPr>
                <w:szCs w:val="21"/>
              </w:rPr>
            </w:pPr>
            <w:r>
              <w:rPr>
                <w:szCs w:val="21"/>
              </w:rPr>
              <w:t>Deep sleep</w:t>
            </w:r>
          </w:p>
        </w:tc>
        <w:tc>
          <w:tcPr>
            <w:tcW w:w="1054" w:type="dxa"/>
            <w:tcBorders>
              <w:top w:val="double" w:color="A5A5A5" w:sz="4" w:space="0"/>
              <w:left w:val="double" w:color="A5A5A5" w:sz="4" w:space="0"/>
              <w:bottom w:val="double" w:color="A5A5A5" w:sz="4" w:space="0"/>
              <w:right w:val="double" w:color="A5A5A5" w:sz="4" w:space="0"/>
            </w:tcBorders>
          </w:tcPr>
          <w:p>
            <w:pPr>
              <w:spacing w:before="120" w:after="120"/>
              <w:jc w:val="center"/>
              <w:rPr>
                <w:szCs w:val="21"/>
              </w:rPr>
            </w:pPr>
            <w:r>
              <w:rPr>
                <w:szCs w:val="21"/>
              </w:rPr>
              <w:t>1</w:t>
            </w:r>
          </w:p>
        </w:tc>
        <w:tc>
          <w:tcPr>
            <w:tcW w:w="1214" w:type="dxa"/>
            <w:tcBorders>
              <w:top w:val="double" w:color="A5A5A5" w:sz="4" w:space="0"/>
              <w:left w:val="double" w:color="A5A5A5" w:sz="4" w:space="0"/>
              <w:bottom w:val="double" w:color="A5A5A5" w:sz="4" w:space="0"/>
              <w:right w:val="double" w:color="A5A5A5" w:sz="4" w:space="0"/>
            </w:tcBorders>
            <w:vAlign w:val="bottom"/>
          </w:tcPr>
          <w:p>
            <w:pPr>
              <w:spacing w:before="120" w:after="120"/>
              <w:jc w:val="center"/>
              <w:rPr>
                <w:szCs w:val="21"/>
              </w:rPr>
            </w:pPr>
            <w:r>
              <w:rPr>
                <w:szCs w:val="21"/>
              </w:rPr>
              <w:t>1</w:t>
            </w:r>
          </w:p>
        </w:tc>
        <w:tc>
          <w:tcPr>
            <w:tcW w:w="1134" w:type="dxa"/>
            <w:tcBorders>
              <w:top w:val="double" w:color="A5A5A5" w:sz="4" w:space="0"/>
              <w:left w:val="double" w:color="A5A5A5" w:sz="4" w:space="0"/>
              <w:bottom w:val="double" w:color="A5A5A5" w:sz="4" w:space="0"/>
              <w:right w:val="double" w:color="A5A5A5" w:sz="4" w:space="0"/>
            </w:tcBorders>
            <w:vAlign w:val="bottom"/>
          </w:tcPr>
          <w:p>
            <w:pPr>
              <w:spacing w:before="120" w:after="120"/>
              <w:jc w:val="center"/>
              <w:rPr>
                <w:szCs w:val="21"/>
              </w:rPr>
            </w:pPr>
            <w:r>
              <w:rPr>
                <w:szCs w:val="21"/>
              </w:rPr>
              <w:t>1</w:t>
            </w:r>
          </w:p>
        </w:tc>
        <w:tc>
          <w:tcPr>
            <w:tcW w:w="1134" w:type="dxa"/>
            <w:tcBorders>
              <w:top w:val="double" w:color="A5A5A5" w:sz="4" w:space="0"/>
              <w:left w:val="double" w:color="A5A5A5" w:sz="4" w:space="0"/>
              <w:bottom w:val="double" w:color="A5A5A5" w:sz="4" w:space="0"/>
              <w:right w:val="double" w:color="A5A5A5" w:sz="4" w:space="0"/>
            </w:tcBorders>
          </w:tcPr>
          <w:p>
            <w:pPr>
              <w:spacing w:before="120" w:after="120"/>
              <w:jc w:val="center"/>
              <w:rPr>
                <w:szCs w:val="21"/>
              </w:rPr>
            </w:pPr>
            <w:r>
              <w:rPr>
                <w:szCs w:val="21"/>
              </w:rPr>
              <w:t>1</w:t>
            </w:r>
          </w:p>
        </w:tc>
        <w:tc>
          <w:tcPr>
            <w:tcW w:w="1276" w:type="dxa"/>
            <w:tcBorders>
              <w:top w:val="double" w:color="A5A5A5" w:sz="4" w:space="0"/>
              <w:left w:val="double" w:color="A5A5A5" w:sz="4" w:space="0"/>
              <w:bottom w:val="double" w:color="A5A5A5" w:sz="4" w:space="0"/>
              <w:right w:val="double" w:color="A5A5A5" w:sz="4" w:space="0"/>
            </w:tcBorders>
            <w:vAlign w:val="center"/>
          </w:tcPr>
          <w:p>
            <w:pPr>
              <w:spacing w:before="120" w:after="120"/>
              <w:jc w:val="center"/>
              <w:rPr>
                <w:szCs w:val="21"/>
              </w:rPr>
            </w:pPr>
            <w:r>
              <w:rPr>
                <w:szCs w:val="21"/>
              </w:rPr>
              <w:t>1</w:t>
            </w:r>
          </w:p>
        </w:tc>
        <w:tc>
          <w:tcPr>
            <w:tcW w:w="1049" w:type="dxa"/>
            <w:tcBorders>
              <w:top w:val="double" w:color="A5A5A5" w:sz="4" w:space="0"/>
              <w:left w:val="double" w:color="A5A5A5" w:sz="4" w:space="0"/>
              <w:bottom w:val="double" w:color="A5A5A5" w:sz="4" w:space="0"/>
              <w:right w:val="double" w:color="A5A5A5" w:sz="4" w:space="0"/>
            </w:tcBorders>
          </w:tcPr>
          <w:p>
            <w:pPr>
              <w:spacing w:before="120" w:after="120"/>
              <w:jc w:val="center"/>
              <w:rPr>
                <w:szCs w:val="21"/>
              </w:rPr>
            </w:pPr>
            <w:r>
              <w:rPr>
                <w:szCs w:val="21"/>
              </w:rPr>
              <w:t>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9" w:hRule="atLeast"/>
          <w:jc w:val="center"/>
        </w:trPr>
        <w:tc>
          <w:tcPr>
            <w:tcW w:w="1261" w:type="dxa"/>
            <w:tcBorders>
              <w:top w:val="double" w:color="A5A5A5" w:sz="4" w:space="0"/>
              <w:left w:val="double" w:color="A5A5A5" w:sz="4" w:space="0"/>
              <w:bottom w:val="double" w:color="A5A5A5" w:sz="4" w:space="0"/>
              <w:right w:val="double" w:color="A5A5A5" w:sz="4" w:space="0"/>
            </w:tcBorders>
            <w:vAlign w:val="center"/>
          </w:tcPr>
          <w:p>
            <w:pPr>
              <w:spacing w:before="120" w:after="120"/>
              <w:jc w:val="center"/>
              <w:rPr>
                <w:szCs w:val="21"/>
              </w:rPr>
            </w:pPr>
            <w:r>
              <w:rPr>
                <w:szCs w:val="21"/>
              </w:rPr>
              <w:t>Light sleep</w:t>
            </w:r>
          </w:p>
        </w:tc>
        <w:tc>
          <w:tcPr>
            <w:tcW w:w="1054" w:type="dxa"/>
            <w:tcBorders>
              <w:top w:val="double" w:color="A5A5A5" w:sz="4" w:space="0"/>
              <w:left w:val="double" w:color="A5A5A5" w:sz="4" w:space="0"/>
              <w:bottom w:val="double" w:color="A5A5A5" w:sz="4" w:space="0"/>
              <w:right w:val="double" w:color="A5A5A5" w:sz="4" w:space="0"/>
            </w:tcBorders>
          </w:tcPr>
          <w:p>
            <w:pPr>
              <w:spacing w:before="120" w:after="120"/>
              <w:jc w:val="center"/>
              <w:rPr>
                <w:szCs w:val="21"/>
              </w:rPr>
            </w:pPr>
            <w:r>
              <w:rPr>
                <w:szCs w:val="21"/>
              </w:rPr>
              <w:t>25</w:t>
            </w:r>
          </w:p>
        </w:tc>
        <w:tc>
          <w:tcPr>
            <w:tcW w:w="1214" w:type="dxa"/>
            <w:tcBorders>
              <w:top w:val="double" w:color="A5A5A5" w:sz="4" w:space="0"/>
              <w:left w:val="double" w:color="A5A5A5" w:sz="4" w:space="0"/>
              <w:bottom w:val="double" w:color="A5A5A5" w:sz="4" w:space="0"/>
              <w:right w:val="double" w:color="A5A5A5" w:sz="4" w:space="0"/>
            </w:tcBorders>
            <w:vAlign w:val="bottom"/>
          </w:tcPr>
          <w:p>
            <w:pPr>
              <w:spacing w:before="120" w:after="120"/>
              <w:jc w:val="center"/>
              <w:rPr>
                <w:szCs w:val="21"/>
              </w:rPr>
            </w:pPr>
            <w:r>
              <w:rPr>
                <w:szCs w:val="21"/>
              </w:rPr>
              <w:t>25</w:t>
            </w:r>
          </w:p>
        </w:tc>
        <w:tc>
          <w:tcPr>
            <w:tcW w:w="1134" w:type="dxa"/>
            <w:tcBorders>
              <w:top w:val="double" w:color="A5A5A5" w:sz="4" w:space="0"/>
              <w:left w:val="double" w:color="A5A5A5" w:sz="4" w:space="0"/>
              <w:bottom w:val="double" w:color="A5A5A5" w:sz="4" w:space="0"/>
              <w:right w:val="double" w:color="A5A5A5" w:sz="4" w:space="0"/>
            </w:tcBorders>
            <w:vAlign w:val="bottom"/>
          </w:tcPr>
          <w:p>
            <w:pPr>
              <w:spacing w:before="120" w:after="120"/>
              <w:jc w:val="center"/>
              <w:rPr>
                <w:szCs w:val="21"/>
              </w:rPr>
            </w:pPr>
            <w:r>
              <w:rPr>
                <w:szCs w:val="21"/>
              </w:rPr>
              <w:t>25</w:t>
            </w:r>
          </w:p>
        </w:tc>
        <w:tc>
          <w:tcPr>
            <w:tcW w:w="1134" w:type="dxa"/>
            <w:tcBorders>
              <w:top w:val="double" w:color="A5A5A5" w:sz="4" w:space="0"/>
              <w:left w:val="double" w:color="A5A5A5" w:sz="4" w:space="0"/>
              <w:bottom w:val="double" w:color="A5A5A5" w:sz="4" w:space="0"/>
              <w:right w:val="double" w:color="A5A5A5" w:sz="4" w:space="0"/>
            </w:tcBorders>
          </w:tcPr>
          <w:p>
            <w:pPr>
              <w:spacing w:before="120" w:after="120"/>
              <w:jc w:val="center"/>
              <w:rPr>
                <w:szCs w:val="21"/>
              </w:rPr>
            </w:pPr>
            <w:r>
              <w:rPr>
                <w:szCs w:val="21"/>
              </w:rPr>
              <w:t>2.1</w:t>
            </w:r>
          </w:p>
        </w:tc>
        <w:tc>
          <w:tcPr>
            <w:tcW w:w="1276" w:type="dxa"/>
            <w:tcBorders>
              <w:top w:val="double" w:color="A5A5A5" w:sz="4" w:space="0"/>
              <w:left w:val="double" w:color="A5A5A5" w:sz="4" w:space="0"/>
              <w:bottom w:val="double" w:color="A5A5A5" w:sz="4" w:space="0"/>
              <w:right w:val="double" w:color="A5A5A5" w:sz="4" w:space="0"/>
            </w:tcBorders>
            <w:vAlign w:val="center"/>
          </w:tcPr>
          <w:p>
            <w:pPr>
              <w:spacing w:before="120" w:after="120"/>
              <w:jc w:val="center"/>
              <w:rPr>
                <w:szCs w:val="21"/>
              </w:rPr>
            </w:pPr>
            <w:r>
              <w:rPr>
                <w:szCs w:val="21"/>
              </w:rPr>
              <w:t>2.1</w:t>
            </w:r>
          </w:p>
        </w:tc>
        <w:tc>
          <w:tcPr>
            <w:tcW w:w="1049" w:type="dxa"/>
            <w:tcBorders>
              <w:top w:val="double" w:color="A5A5A5" w:sz="4" w:space="0"/>
              <w:left w:val="double" w:color="A5A5A5" w:sz="4" w:space="0"/>
              <w:bottom w:val="double" w:color="A5A5A5" w:sz="4" w:space="0"/>
              <w:right w:val="double" w:color="A5A5A5" w:sz="4" w:space="0"/>
            </w:tcBorders>
          </w:tcPr>
          <w:p>
            <w:pPr>
              <w:spacing w:before="120" w:after="120"/>
              <w:jc w:val="center"/>
              <w:rPr>
                <w:szCs w:val="21"/>
              </w:rPr>
            </w:pPr>
            <w:r>
              <w:rPr>
                <w:szCs w:val="21"/>
              </w:rPr>
              <w:t>2.1</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99" w:hRule="atLeast"/>
          <w:jc w:val="center"/>
        </w:trPr>
        <w:tc>
          <w:tcPr>
            <w:tcW w:w="1261" w:type="dxa"/>
            <w:tcBorders>
              <w:top w:val="double" w:color="A5A5A5" w:sz="4" w:space="0"/>
              <w:left w:val="double" w:color="A5A5A5" w:sz="4" w:space="0"/>
              <w:bottom w:val="double" w:color="A5A5A5" w:sz="4" w:space="0"/>
              <w:right w:val="double" w:color="A5A5A5" w:sz="4" w:space="0"/>
            </w:tcBorders>
            <w:vAlign w:val="center"/>
          </w:tcPr>
          <w:p>
            <w:pPr>
              <w:spacing w:before="120" w:after="120"/>
              <w:jc w:val="center"/>
              <w:rPr>
                <w:szCs w:val="21"/>
              </w:rPr>
            </w:pPr>
            <w:r>
              <w:rPr>
                <w:szCs w:val="21"/>
              </w:rPr>
              <w:t>Micro sleep</w:t>
            </w:r>
          </w:p>
        </w:tc>
        <w:tc>
          <w:tcPr>
            <w:tcW w:w="1054" w:type="dxa"/>
            <w:tcBorders>
              <w:top w:val="double" w:color="A5A5A5" w:sz="4" w:space="0"/>
              <w:left w:val="double" w:color="A5A5A5" w:sz="4" w:space="0"/>
              <w:bottom w:val="double" w:color="A5A5A5" w:sz="4" w:space="0"/>
              <w:right w:val="double" w:color="A5A5A5" w:sz="4" w:space="0"/>
            </w:tcBorders>
          </w:tcPr>
          <w:p>
            <w:pPr>
              <w:spacing w:before="120" w:after="120"/>
              <w:jc w:val="center"/>
              <w:rPr>
                <w:szCs w:val="21"/>
              </w:rPr>
            </w:pPr>
            <w:r>
              <w:rPr>
                <w:szCs w:val="21"/>
              </w:rPr>
              <w:t>55</w:t>
            </w:r>
          </w:p>
        </w:tc>
        <w:tc>
          <w:tcPr>
            <w:tcW w:w="1214" w:type="dxa"/>
            <w:tcBorders>
              <w:top w:val="double" w:color="A5A5A5" w:sz="4" w:space="0"/>
              <w:left w:val="double" w:color="A5A5A5" w:sz="4" w:space="0"/>
              <w:bottom w:val="double" w:color="A5A5A5" w:sz="4" w:space="0"/>
              <w:right w:val="double" w:color="A5A5A5" w:sz="4" w:space="0"/>
            </w:tcBorders>
            <w:vAlign w:val="bottom"/>
          </w:tcPr>
          <w:p>
            <w:pPr>
              <w:spacing w:before="120" w:after="120"/>
              <w:jc w:val="center"/>
              <w:rPr>
                <w:szCs w:val="21"/>
              </w:rPr>
            </w:pPr>
            <w:r>
              <w:rPr>
                <w:szCs w:val="21"/>
              </w:rPr>
              <w:t>50</w:t>
            </w:r>
          </w:p>
        </w:tc>
        <w:tc>
          <w:tcPr>
            <w:tcW w:w="1134" w:type="dxa"/>
            <w:tcBorders>
              <w:top w:val="double" w:color="A5A5A5" w:sz="4" w:space="0"/>
              <w:left w:val="double" w:color="A5A5A5" w:sz="4" w:space="0"/>
              <w:bottom w:val="double" w:color="A5A5A5" w:sz="4" w:space="0"/>
              <w:right w:val="double" w:color="A5A5A5" w:sz="4" w:space="0"/>
            </w:tcBorders>
            <w:vAlign w:val="bottom"/>
          </w:tcPr>
          <w:p>
            <w:pPr>
              <w:spacing w:before="120" w:after="120"/>
              <w:jc w:val="center"/>
              <w:rPr>
                <w:szCs w:val="21"/>
              </w:rPr>
            </w:pPr>
            <w:r>
              <w:rPr>
                <w:szCs w:val="21"/>
              </w:rPr>
              <w:t>38</w:t>
            </w:r>
          </w:p>
        </w:tc>
        <w:tc>
          <w:tcPr>
            <w:tcW w:w="1134" w:type="dxa"/>
            <w:tcBorders>
              <w:top w:val="double" w:color="A5A5A5" w:sz="4" w:space="0"/>
              <w:left w:val="double" w:color="A5A5A5" w:sz="4" w:space="0"/>
              <w:bottom w:val="double" w:color="A5A5A5" w:sz="4" w:space="0"/>
              <w:right w:val="double" w:color="A5A5A5" w:sz="4" w:space="0"/>
            </w:tcBorders>
          </w:tcPr>
          <w:p>
            <w:pPr>
              <w:spacing w:before="120" w:after="120"/>
              <w:jc w:val="center"/>
              <w:rPr>
                <w:szCs w:val="21"/>
              </w:rPr>
            </w:pPr>
            <w:r>
              <w:rPr>
                <w:szCs w:val="21"/>
              </w:rPr>
              <w:t>5.5</w:t>
            </w:r>
          </w:p>
        </w:tc>
        <w:tc>
          <w:tcPr>
            <w:tcW w:w="1276" w:type="dxa"/>
            <w:tcBorders>
              <w:top w:val="double" w:color="A5A5A5" w:sz="4" w:space="0"/>
              <w:left w:val="double" w:color="A5A5A5" w:sz="4" w:space="0"/>
              <w:bottom w:val="double" w:color="A5A5A5" w:sz="4" w:space="0"/>
              <w:right w:val="double" w:color="A5A5A5" w:sz="4" w:space="0"/>
            </w:tcBorders>
            <w:vAlign w:val="center"/>
          </w:tcPr>
          <w:p>
            <w:pPr>
              <w:spacing w:before="120" w:after="120"/>
              <w:jc w:val="center"/>
              <w:rPr>
                <w:szCs w:val="21"/>
              </w:rPr>
            </w:pPr>
            <w:r>
              <w:rPr>
                <w:szCs w:val="21"/>
              </w:rPr>
              <w:t>5</w:t>
            </w:r>
          </w:p>
        </w:tc>
        <w:tc>
          <w:tcPr>
            <w:tcW w:w="1049" w:type="dxa"/>
            <w:tcBorders>
              <w:top w:val="double" w:color="A5A5A5" w:sz="4" w:space="0"/>
              <w:left w:val="double" w:color="A5A5A5" w:sz="4" w:space="0"/>
              <w:bottom w:val="double" w:color="A5A5A5" w:sz="4" w:space="0"/>
              <w:right w:val="double" w:color="A5A5A5" w:sz="4" w:space="0"/>
            </w:tcBorders>
          </w:tcPr>
          <w:p>
            <w:pPr>
              <w:spacing w:before="120" w:after="120"/>
              <w:jc w:val="center"/>
              <w:rPr>
                <w:szCs w:val="21"/>
              </w:rPr>
            </w:pPr>
            <w:r>
              <w:rPr>
                <w:szCs w:val="21"/>
              </w:rPr>
              <w:t>3</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99" w:hRule="atLeast"/>
          <w:jc w:val="center"/>
        </w:trPr>
        <w:tc>
          <w:tcPr>
            <w:tcW w:w="1261" w:type="dxa"/>
            <w:tcBorders>
              <w:top w:val="double" w:color="A5A5A5" w:sz="4" w:space="0"/>
              <w:left w:val="double" w:color="A5A5A5" w:sz="4" w:space="0"/>
              <w:bottom w:val="double" w:color="A5A5A5" w:sz="4" w:space="0"/>
              <w:right w:val="double" w:color="A5A5A5" w:sz="4" w:space="0"/>
            </w:tcBorders>
            <w:vAlign w:val="center"/>
          </w:tcPr>
          <w:p>
            <w:pPr>
              <w:spacing w:before="120" w:after="120"/>
              <w:jc w:val="center"/>
              <w:rPr>
                <w:szCs w:val="21"/>
              </w:rPr>
            </w:pPr>
            <w:r>
              <w:rPr>
                <w:szCs w:val="21"/>
              </w:rPr>
              <w:t>Active DL</w:t>
            </w:r>
          </w:p>
        </w:tc>
        <w:tc>
          <w:tcPr>
            <w:tcW w:w="1054" w:type="dxa"/>
            <w:tcBorders>
              <w:top w:val="double" w:color="A5A5A5" w:sz="4" w:space="0"/>
              <w:left w:val="double" w:color="A5A5A5" w:sz="4" w:space="0"/>
              <w:bottom w:val="double" w:color="A5A5A5" w:sz="4" w:space="0"/>
              <w:right w:val="double" w:color="A5A5A5" w:sz="4" w:space="0"/>
            </w:tcBorders>
          </w:tcPr>
          <w:p>
            <w:pPr>
              <w:spacing w:before="120" w:after="120"/>
              <w:jc w:val="center"/>
              <w:rPr>
                <w:szCs w:val="21"/>
              </w:rPr>
            </w:pPr>
            <w:r>
              <w:rPr>
                <w:szCs w:val="21"/>
              </w:rPr>
              <w:t>280</w:t>
            </w:r>
          </w:p>
        </w:tc>
        <w:tc>
          <w:tcPr>
            <w:tcW w:w="1214" w:type="dxa"/>
            <w:tcBorders>
              <w:top w:val="double" w:color="A5A5A5" w:sz="4" w:space="0"/>
              <w:left w:val="double" w:color="A5A5A5" w:sz="4" w:space="0"/>
              <w:bottom w:val="double" w:color="A5A5A5" w:sz="4" w:space="0"/>
              <w:right w:val="double" w:color="A5A5A5" w:sz="4" w:space="0"/>
            </w:tcBorders>
            <w:vAlign w:val="bottom"/>
          </w:tcPr>
          <w:p>
            <w:pPr>
              <w:spacing w:before="120" w:after="120"/>
              <w:jc w:val="center"/>
              <w:rPr>
                <w:szCs w:val="21"/>
              </w:rPr>
            </w:pPr>
            <w:r>
              <w:rPr>
                <w:szCs w:val="21"/>
              </w:rPr>
              <w:t>200</w:t>
            </w:r>
          </w:p>
        </w:tc>
        <w:tc>
          <w:tcPr>
            <w:tcW w:w="1134" w:type="dxa"/>
            <w:tcBorders>
              <w:top w:val="double" w:color="A5A5A5" w:sz="4" w:space="0"/>
              <w:left w:val="double" w:color="A5A5A5" w:sz="4" w:space="0"/>
              <w:bottom w:val="double" w:color="A5A5A5" w:sz="4" w:space="0"/>
              <w:right w:val="double" w:color="A5A5A5" w:sz="4" w:space="0"/>
            </w:tcBorders>
            <w:vAlign w:val="bottom"/>
          </w:tcPr>
          <w:p>
            <w:pPr>
              <w:spacing w:before="120" w:after="120"/>
              <w:jc w:val="center"/>
              <w:rPr>
                <w:szCs w:val="21"/>
              </w:rPr>
            </w:pPr>
            <w:r>
              <w:rPr>
                <w:szCs w:val="21"/>
              </w:rPr>
              <w:t>152</w:t>
            </w:r>
          </w:p>
        </w:tc>
        <w:tc>
          <w:tcPr>
            <w:tcW w:w="1134" w:type="dxa"/>
            <w:tcBorders>
              <w:top w:val="double" w:color="A5A5A5" w:sz="4" w:space="0"/>
              <w:left w:val="double" w:color="A5A5A5" w:sz="4" w:space="0"/>
              <w:bottom w:val="double" w:color="A5A5A5" w:sz="4" w:space="0"/>
              <w:right w:val="double" w:color="A5A5A5" w:sz="4" w:space="0"/>
            </w:tcBorders>
          </w:tcPr>
          <w:p>
            <w:pPr>
              <w:spacing w:before="120" w:after="120"/>
              <w:jc w:val="center"/>
              <w:rPr>
                <w:szCs w:val="21"/>
              </w:rPr>
            </w:pPr>
            <w:r>
              <w:rPr>
                <w:szCs w:val="21"/>
              </w:rPr>
              <w:t>32</w:t>
            </w:r>
          </w:p>
        </w:tc>
        <w:tc>
          <w:tcPr>
            <w:tcW w:w="1276" w:type="dxa"/>
            <w:tcBorders>
              <w:top w:val="double" w:color="A5A5A5" w:sz="4" w:space="0"/>
              <w:left w:val="double" w:color="A5A5A5" w:sz="4" w:space="0"/>
              <w:bottom w:val="double" w:color="A5A5A5" w:sz="4" w:space="0"/>
              <w:right w:val="double" w:color="A5A5A5" w:sz="4" w:space="0"/>
            </w:tcBorders>
            <w:vAlign w:val="center"/>
          </w:tcPr>
          <w:p>
            <w:pPr>
              <w:spacing w:before="120" w:after="120"/>
              <w:jc w:val="center"/>
              <w:rPr>
                <w:szCs w:val="21"/>
              </w:rPr>
            </w:pPr>
            <w:r>
              <w:rPr>
                <w:szCs w:val="21"/>
              </w:rPr>
              <w:t>26</w:t>
            </w:r>
          </w:p>
        </w:tc>
        <w:tc>
          <w:tcPr>
            <w:tcW w:w="1049" w:type="dxa"/>
            <w:tcBorders>
              <w:top w:val="double" w:color="A5A5A5" w:sz="4" w:space="0"/>
              <w:left w:val="double" w:color="A5A5A5" w:sz="4" w:space="0"/>
              <w:bottom w:val="double" w:color="A5A5A5" w:sz="4" w:space="0"/>
              <w:right w:val="double" w:color="A5A5A5" w:sz="4" w:space="0"/>
            </w:tcBorders>
          </w:tcPr>
          <w:p>
            <w:pPr>
              <w:spacing w:before="120" w:after="120"/>
              <w:jc w:val="center"/>
              <w:rPr>
                <w:strike/>
                <w:szCs w:val="21"/>
              </w:rPr>
            </w:pPr>
            <w:r>
              <w:rPr>
                <w:szCs w:val="21"/>
              </w:rPr>
              <w:t>17.6</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trHeight w:val="289" w:hRule="atLeast"/>
          <w:jc w:val="center"/>
        </w:trPr>
        <w:tc>
          <w:tcPr>
            <w:tcW w:w="1261" w:type="dxa"/>
            <w:tcBorders>
              <w:top w:val="double" w:color="A5A5A5" w:sz="4" w:space="0"/>
              <w:left w:val="double" w:color="A5A5A5" w:sz="4" w:space="0"/>
              <w:bottom w:val="double" w:color="A5A5A5" w:sz="4" w:space="0"/>
              <w:right w:val="double" w:color="A5A5A5" w:sz="4" w:space="0"/>
            </w:tcBorders>
            <w:vAlign w:val="center"/>
          </w:tcPr>
          <w:p>
            <w:pPr>
              <w:spacing w:before="120" w:after="120"/>
              <w:jc w:val="center"/>
              <w:rPr>
                <w:szCs w:val="21"/>
              </w:rPr>
            </w:pPr>
            <w:r>
              <w:rPr>
                <w:szCs w:val="21"/>
              </w:rPr>
              <w:t>Active UL</w:t>
            </w:r>
          </w:p>
        </w:tc>
        <w:tc>
          <w:tcPr>
            <w:tcW w:w="1054" w:type="dxa"/>
            <w:tcBorders>
              <w:top w:val="double" w:color="A5A5A5" w:sz="4" w:space="0"/>
              <w:left w:val="double" w:color="A5A5A5" w:sz="4" w:space="0"/>
              <w:bottom w:val="double" w:color="A5A5A5" w:sz="4" w:space="0"/>
              <w:right w:val="double" w:color="A5A5A5" w:sz="4" w:space="0"/>
            </w:tcBorders>
          </w:tcPr>
          <w:p>
            <w:pPr>
              <w:spacing w:before="120" w:after="120"/>
              <w:jc w:val="center"/>
              <w:rPr>
                <w:szCs w:val="21"/>
              </w:rPr>
            </w:pPr>
            <w:r>
              <w:rPr>
                <w:szCs w:val="21"/>
              </w:rPr>
              <w:t>110</w:t>
            </w:r>
          </w:p>
        </w:tc>
        <w:tc>
          <w:tcPr>
            <w:tcW w:w="1214" w:type="dxa"/>
            <w:tcBorders>
              <w:top w:val="double" w:color="A5A5A5" w:sz="4" w:space="0"/>
              <w:left w:val="double" w:color="A5A5A5" w:sz="4" w:space="0"/>
              <w:bottom w:val="double" w:color="A5A5A5" w:sz="4" w:space="0"/>
              <w:right w:val="double" w:color="A5A5A5" w:sz="4" w:space="0"/>
            </w:tcBorders>
            <w:vAlign w:val="bottom"/>
          </w:tcPr>
          <w:p>
            <w:pPr>
              <w:spacing w:before="120" w:after="120"/>
              <w:jc w:val="center"/>
              <w:rPr>
                <w:szCs w:val="21"/>
              </w:rPr>
            </w:pPr>
            <w:r>
              <w:rPr>
                <w:szCs w:val="21"/>
              </w:rPr>
              <w:t>90</w:t>
            </w:r>
          </w:p>
        </w:tc>
        <w:tc>
          <w:tcPr>
            <w:tcW w:w="1134" w:type="dxa"/>
            <w:tcBorders>
              <w:top w:val="double" w:color="A5A5A5" w:sz="4" w:space="0"/>
              <w:left w:val="double" w:color="A5A5A5" w:sz="4" w:space="0"/>
              <w:bottom w:val="double" w:color="A5A5A5" w:sz="4" w:space="0"/>
              <w:right w:val="double" w:color="A5A5A5" w:sz="4" w:space="0"/>
            </w:tcBorders>
            <w:vAlign w:val="bottom"/>
          </w:tcPr>
          <w:p>
            <w:pPr>
              <w:spacing w:before="120" w:after="120"/>
              <w:jc w:val="center"/>
              <w:rPr>
                <w:szCs w:val="21"/>
              </w:rPr>
            </w:pPr>
            <w:r>
              <w:rPr>
                <w:szCs w:val="21"/>
              </w:rPr>
              <w:t>80</w:t>
            </w:r>
          </w:p>
        </w:tc>
        <w:tc>
          <w:tcPr>
            <w:tcW w:w="1134" w:type="dxa"/>
            <w:tcBorders>
              <w:top w:val="double" w:color="A5A5A5" w:sz="4" w:space="0"/>
              <w:left w:val="double" w:color="A5A5A5" w:sz="4" w:space="0"/>
              <w:bottom w:val="double" w:color="A5A5A5" w:sz="4" w:space="0"/>
              <w:right w:val="double" w:color="A5A5A5" w:sz="4" w:space="0"/>
            </w:tcBorders>
          </w:tcPr>
          <w:p>
            <w:pPr>
              <w:spacing w:before="120" w:after="120"/>
              <w:jc w:val="center"/>
              <w:rPr>
                <w:szCs w:val="21"/>
              </w:rPr>
            </w:pPr>
            <w:r>
              <w:rPr>
                <w:szCs w:val="21"/>
              </w:rPr>
              <w:t>6.5</w:t>
            </w:r>
          </w:p>
        </w:tc>
        <w:tc>
          <w:tcPr>
            <w:tcW w:w="1276" w:type="dxa"/>
            <w:tcBorders>
              <w:top w:val="double" w:color="A5A5A5" w:sz="4" w:space="0"/>
              <w:left w:val="double" w:color="A5A5A5" w:sz="4" w:space="0"/>
              <w:bottom w:val="double" w:color="A5A5A5" w:sz="4" w:space="0"/>
              <w:right w:val="double" w:color="A5A5A5" w:sz="4" w:space="0"/>
            </w:tcBorders>
            <w:vAlign w:val="center"/>
          </w:tcPr>
          <w:p>
            <w:pPr>
              <w:spacing w:before="120" w:after="120"/>
              <w:jc w:val="center"/>
              <w:rPr>
                <w:szCs w:val="21"/>
              </w:rPr>
            </w:pPr>
            <w:r>
              <w:rPr>
                <w:szCs w:val="21"/>
              </w:rPr>
              <w:t xml:space="preserve"> 5.8</w:t>
            </w:r>
          </w:p>
        </w:tc>
        <w:tc>
          <w:tcPr>
            <w:tcW w:w="1049" w:type="dxa"/>
            <w:tcBorders>
              <w:top w:val="double" w:color="A5A5A5" w:sz="4" w:space="0"/>
              <w:left w:val="double" w:color="A5A5A5" w:sz="4" w:space="0"/>
              <w:bottom w:val="double" w:color="A5A5A5" w:sz="4" w:space="0"/>
              <w:right w:val="double" w:color="A5A5A5" w:sz="4" w:space="0"/>
            </w:tcBorders>
          </w:tcPr>
          <w:p>
            <w:pPr>
              <w:spacing w:before="120" w:after="120"/>
              <w:jc w:val="center"/>
              <w:rPr>
                <w:szCs w:val="21"/>
              </w:rPr>
            </w:pPr>
            <w:r>
              <w:rPr>
                <w:szCs w:val="21"/>
              </w:rPr>
              <w:t>4.2</w:t>
            </w:r>
          </w:p>
        </w:tc>
      </w:tr>
    </w:tbl>
    <w:p>
      <w:pPr>
        <w:spacing w:before="120" w:after="120"/>
        <w:rPr>
          <w:szCs w:val="21"/>
        </w:rPr>
      </w:pPr>
    </w:p>
    <w:p>
      <w:pPr>
        <w:pStyle w:val="40"/>
        <w:overflowPunct w:val="0"/>
        <w:autoSpaceDE w:val="0"/>
        <w:autoSpaceDN w:val="0"/>
        <w:adjustRightInd w:val="0"/>
        <w:spacing w:after="120"/>
        <w:ind w:left="0"/>
        <w:jc w:val="center"/>
        <w:textAlignment w:val="baseline"/>
        <w:rPr>
          <w:rFonts w:eastAsia="宋体"/>
          <w:sz w:val="21"/>
          <w:szCs w:val="21"/>
        </w:rPr>
      </w:pPr>
      <w:r>
        <w:rPr>
          <w:sz w:val="21"/>
          <w:szCs w:val="21"/>
        </w:rPr>
        <w:t>Table A</w:t>
      </w:r>
      <w:r>
        <w:rPr>
          <w:rFonts w:eastAsia="宋体"/>
          <w:sz w:val="21"/>
          <w:szCs w:val="21"/>
        </w:rPr>
        <w:t>2 A</w:t>
      </w:r>
      <w:r>
        <w:rPr>
          <w:sz w:val="21"/>
          <w:szCs w:val="21"/>
        </w:rPr>
        <w:t xml:space="preserve">dditional energy </w:t>
      </w:r>
      <w:r>
        <w:rPr>
          <w:rFonts w:eastAsia="宋体"/>
          <w:sz w:val="21"/>
          <w:szCs w:val="21"/>
        </w:rPr>
        <w:t>for set 1/2/3</w:t>
      </w:r>
    </w:p>
    <w:tbl>
      <w:tblPr>
        <w:tblStyle w:val="25"/>
        <w:tblW w:w="4521"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382"/>
        <w:gridCol w:w="1438"/>
        <w:gridCol w:w="1701"/>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382" w:type="dxa"/>
            <w:vMerge w:val="restart"/>
            <w:tcBorders>
              <w:top w:val="double" w:color="A5A5A5" w:sz="4" w:space="0"/>
              <w:left w:val="double" w:color="A5A5A5" w:sz="4" w:space="0"/>
              <w:right w:val="double" w:color="A5A5A5" w:sz="4" w:space="0"/>
            </w:tcBorders>
            <w:vAlign w:val="center"/>
          </w:tcPr>
          <w:p>
            <w:pPr>
              <w:spacing w:before="120" w:after="120"/>
              <w:jc w:val="center"/>
              <w:rPr>
                <w:b/>
                <w:bCs/>
                <w:szCs w:val="21"/>
              </w:rPr>
            </w:pPr>
            <w:r>
              <w:rPr>
                <w:b/>
                <w:bCs/>
                <w:szCs w:val="21"/>
              </w:rPr>
              <w:t>Power state</w:t>
            </w:r>
          </w:p>
        </w:tc>
        <w:tc>
          <w:tcPr>
            <w:tcW w:w="3139" w:type="dxa"/>
            <w:gridSpan w:val="2"/>
            <w:tcBorders>
              <w:top w:val="double" w:color="A5A5A5" w:sz="4" w:space="0"/>
              <w:left w:val="double" w:color="A5A5A5" w:sz="4" w:space="0"/>
              <w:bottom w:val="double" w:color="A5A5A5" w:sz="4" w:space="0"/>
              <w:right w:val="double" w:color="A5A5A5" w:sz="4" w:space="0"/>
            </w:tcBorders>
            <w:vAlign w:val="center"/>
          </w:tcPr>
          <w:p>
            <w:pPr>
              <w:keepNext/>
              <w:keepLines/>
              <w:spacing w:before="120" w:after="120"/>
              <w:jc w:val="center"/>
              <w:rPr>
                <w:b/>
                <w:bCs/>
                <w:szCs w:val="21"/>
              </w:rPr>
            </w:pPr>
            <w:r>
              <w:rPr>
                <w:b/>
                <w:bCs/>
                <w:szCs w:val="21"/>
              </w:rPr>
              <w:t xml:space="preserve">Additional transition energy </w:t>
            </w:r>
            <w:r>
              <w:rPr>
                <w:b/>
                <w:bCs/>
                <w:i/>
                <w:iCs/>
                <w:szCs w:val="21"/>
              </w:rPr>
              <w:t>E</w:t>
            </w:r>
            <w:r>
              <w:rPr>
                <w:b/>
                <w:bCs/>
                <w:i/>
                <w:iCs/>
                <w:szCs w:val="21"/>
                <w:vertAlign w:val="subscript"/>
              </w:rPr>
              <w:t>i</w:t>
            </w:r>
            <w:r>
              <w:rPr>
                <w:b/>
                <w:bCs/>
                <w:szCs w:val="21"/>
              </w:rPr>
              <w:t xml:space="preserve"> </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382" w:type="dxa"/>
            <w:vMerge w:val="continue"/>
            <w:tcBorders>
              <w:left w:val="double" w:color="A5A5A5" w:sz="4" w:space="0"/>
              <w:bottom w:val="double" w:color="A5A5A5" w:sz="4" w:space="0"/>
              <w:right w:val="double" w:color="A5A5A5" w:sz="4" w:space="0"/>
            </w:tcBorders>
            <w:vAlign w:val="center"/>
          </w:tcPr>
          <w:p>
            <w:pPr>
              <w:spacing w:before="120" w:after="120"/>
              <w:jc w:val="center"/>
              <w:rPr>
                <w:szCs w:val="21"/>
              </w:rPr>
            </w:pPr>
          </w:p>
        </w:tc>
        <w:tc>
          <w:tcPr>
            <w:tcW w:w="1438" w:type="dxa"/>
            <w:tcBorders>
              <w:top w:val="double" w:color="A5A5A5" w:sz="4" w:space="0"/>
              <w:left w:val="double" w:color="A5A5A5" w:sz="4" w:space="0"/>
              <w:bottom w:val="double" w:color="A5A5A5" w:sz="4" w:space="0"/>
              <w:right w:val="double" w:color="A5A5A5" w:sz="4" w:space="0"/>
            </w:tcBorders>
          </w:tcPr>
          <w:p>
            <w:pPr>
              <w:spacing w:before="120" w:after="120"/>
              <w:jc w:val="center"/>
              <w:rPr>
                <w:szCs w:val="21"/>
              </w:rPr>
            </w:pPr>
            <w:r>
              <w:rPr>
                <w:szCs w:val="21"/>
              </w:rPr>
              <w:t>Category 1</w:t>
            </w:r>
          </w:p>
        </w:tc>
        <w:tc>
          <w:tcPr>
            <w:tcW w:w="1701" w:type="dxa"/>
            <w:tcBorders>
              <w:top w:val="double" w:color="A5A5A5" w:sz="4" w:space="0"/>
              <w:left w:val="double" w:color="A5A5A5" w:sz="4" w:space="0"/>
              <w:bottom w:val="double" w:color="A5A5A5" w:sz="4" w:space="0"/>
              <w:right w:val="double" w:color="A5A5A5" w:sz="4" w:space="0"/>
            </w:tcBorders>
          </w:tcPr>
          <w:p>
            <w:pPr>
              <w:spacing w:before="120" w:after="120"/>
              <w:jc w:val="center"/>
              <w:rPr>
                <w:szCs w:val="21"/>
              </w:rPr>
            </w:pPr>
            <w:r>
              <w:rPr>
                <w:szCs w:val="21"/>
              </w:rPr>
              <w:t>Category 2</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382" w:type="dxa"/>
            <w:tcBorders>
              <w:top w:val="double" w:color="A5A5A5" w:sz="4" w:space="0"/>
              <w:left w:val="double" w:color="A5A5A5" w:sz="4" w:space="0"/>
              <w:bottom w:val="double" w:color="A5A5A5" w:sz="4" w:space="0"/>
              <w:right w:val="double" w:color="A5A5A5" w:sz="4" w:space="0"/>
            </w:tcBorders>
            <w:vAlign w:val="center"/>
          </w:tcPr>
          <w:p>
            <w:pPr>
              <w:spacing w:before="120" w:after="120"/>
              <w:jc w:val="center"/>
              <w:rPr>
                <w:szCs w:val="21"/>
              </w:rPr>
            </w:pPr>
            <w:r>
              <w:rPr>
                <w:szCs w:val="21"/>
              </w:rPr>
              <w:t>Deep sleep</w:t>
            </w:r>
          </w:p>
        </w:tc>
        <w:tc>
          <w:tcPr>
            <w:tcW w:w="1438" w:type="dxa"/>
            <w:tcBorders>
              <w:top w:val="double" w:color="A5A5A5" w:sz="4" w:space="0"/>
              <w:left w:val="double" w:color="A5A5A5" w:sz="4" w:space="0"/>
              <w:bottom w:val="double" w:color="A5A5A5" w:sz="4" w:space="0"/>
              <w:right w:val="double" w:color="A5A5A5" w:sz="4" w:space="0"/>
            </w:tcBorders>
          </w:tcPr>
          <w:p>
            <w:pPr>
              <w:spacing w:before="120" w:after="120"/>
              <w:jc w:val="center"/>
              <w:rPr>
                <w:szCs w:val="21"/>
              </w:rPr>
            </w:pPr>
            <w:r>
              <w:rPr>
                <w:szCs w:val="21"/>
              </w:rPr>
              <w:t>1000</w:t>
            </w:r>
          </w:p>
        </w:tc>
        <w:tc>
          <w:tcPr>
            <w:tcW w:w="1701" w:type="dxa"/>
            <w:tcBorders>
              <w:top w:val="double" w:color="A5A5A5" w:sz="4" w:space="0"/>
              <w:left w:val="double" w:color="A5A5A5" w:sz="4" w:space="0"/>
              <w:bottom w:val="double" w:color="A5A5A5" w:sz="4" w:space="0"/>
              <w:right w:val="double" w:color="A5A5A5" w:sz="4" w:space="0"/>
            </w:tcBorders>
          </w:tcPr>
          <w:p>
            <w:pPr>
              <w:spacing w:before="120" w:after="120"/>
              <w:jc w:val="center"/>
              <w:rPr>
                <w:szCs w:val="21"/>
              </w:rPr>
            </w:pPr>
            <w:r>
              <w:rPr>
                <w:szCs w:val="21"/>
              </w:rPr>
              <w:t>17000</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rPr>
          <w:jc w:val="center"/>
        </w:trPr>
        <w:tc>
          <w:tcPr>
            <w:tcW w:w="1382" w:type="dxa"/>
            <w:tcBorders>
              <w:top w:val="double" w:color="A5A5A5" w:sz="4" w:space="0"/>
              <w:left w:val="double" w:color="A5A5A5" w:sz="4" w:space="0"/>
              <w:bottom w:val="double" w:color="A5A5A5" w:sz="4" w:space="0"/>
              <w:right w:val="double" w:color="A5A5A5" w:sz="4" w:space="0"/>
            </w:tcBorders>
            <w:vAlign w:val="center"/>
          </w:tcPr>
          <w:p>
            <w:pPr>
              <w:spacing w:before="120" w:after="120"/>
              <w:jc w:val="center"/>
              <w:rPr>
                <w:szCs w:val="21"/>
              </w:rPr>
            </w:pPr>
            <w:r>
              <w:rPr>
                <w:szCs w:val="21"/>
              </w:rPr>
              <w:t>Light sleep</w:t>
            </w:r>
          </w:p>
        </w:tc>
        <w:tc>
          <w:tcPr>
            <w:tcW w:w="1438" w:type="dxa"/>
            <w:tcBorders>
              <w:top w:val="double" w:color="A5A5A5" w:sz="4" w:space="0"/>
              <w:left w:val="double" w:color="A5A5A5" w:sz="4" w:space="0"/>
              <w:bottom w:val="double" w:color="A5A5A5" w:sz="4" w:space="0"/>
              <w:right w:val="double" w:color="A5A5A5" w:sz="4" w:space="0"/>
            </w:tcBorders>
          </w:tcPr>
          <w:p>
            <w:pPr>
              <w:spacing w:before="120" w:after="120"/>
              <w:jc w:val="center"/>
              <w:rPr>
                <w:szCs w:val="21"/>
              </w:rPr>
            </w:pPr>
            <w:r>
              <w:rPr>
                <w:szCs w:val="21"/>
              </w:rPr>
              <w:t>90</w:t>
            </w:r>
          </w:p>
        </w:tc>
        <w:tc>
          <w:tcPr>
            <w:tcW w:w="1701" w:type="dxa"/>
            <w:tcBorders>
              <w:top w:val="double" w:color="A5A5A5" w:sz="4" w:space="0"/>
              <w:left w:val="double" w:color="A5A5A5" w:sz="4" w:space="0"/>
              <w:bottom w:val="double" w:color="A5A5A5" w:sz="4" w:space="0"/>
              <w:right w:val="double" w:color="A5A5A5" w:sz="4" w:space="0"/>
            </w:tcBorders>
          </w:tcPr>
          <w:p>
            <w:pPr>
              <w:spacing w:before="120" w:after="120"/>
              <w:jc w:val="center"/>
              <w:rPr>
                <w:szCs w:val="21"/>
              </w:rPr>
            </w:pPr>
            <w:r>
              <w:rPr>
                <w:szCs w:val="21"/>
              </w:rPr>
              <w:t>1088</w:t>
            </w:r>
          </w:p>
        </w:tc>
      </w:tr>
    </w:tbl>
    <w:p>
      <w:pPr>
        <w:spacing w:before="120" w:after="120"/>
        <w:rPr>
          <w:szCs w:val="21"/>
        </w:rPr>
      </w:pPr>
    </w:p>
    <w:p>
      <w:pPr>
        <w:pStyle w:val="12"/>
        <w:spacing w:before="120" w:after="120"/>
        <w:jc w:val="center"/>
        <w:rPr>
          <w:rFonts w:ascii="Times New Roman" w:hAnsi="Times New Roman"/>
          <w:sz w:val="21"/>
          <w:szCs w:val="21"/>
        </w:rPr>
      </w:pPr>
      <w:r>
        <w:rPr>
          <w:rFonts w:ascii="Times New Roman" w:hAnsi="Times New Roman"/>
          <w:sz w:val="21"/>
          <w:szCs w:val="21"/>
        </w:rPr>
        <w:t>Table A3 Evaluation assumptions for UMa scenario</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8"/>
        <w:gridCol w:w="3743"/>
        <w:gridCol w:w="3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b/>
                <w:bCs/>
                <w:szCs w:val="21"/>
              </w:rPr>
            </w:pPr>
            <w:r>
              <w:rPr>
                <w:b/>
                <w:bCs/>
                <w:szCs w:val="21"/>
                <w:lang w:eastAsia="ko-KR"/>
              </w:rPr>
              <w:t>Parameters</w:t>
            </w:r>
          </w:p>
        </w:tc>
        <w:tc>
          <w:tcPr>
            <w:tcW w:w="7566" w:type="dxa"/>
            <w:gridSpan w:val="2"/>
            <w:vAlign w:val="center"/>
          </w:tcPr>
          <w:p>
            <w:pPr>
              <w:spacing w:before="120" w:after="120"/>
              <w:jc w:val="center"/>
              <w:rPr>
                <w:b/>
                <w:bCs/>
                <w:szCs w:val="21"/>
              </w:rPr>
            </w:pPr>
            <w:r>
              <w:rPr>
                <w:b/>
                <w:bCs/>
                <w:szCs w:val="21"/>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Duplex Mode / Simulation bandwidth</w:t>
            </w:r>
          </w:p>
        </w:tc>
        <w:tc>
          <w:tcPr>
            <w:tcW w:w="3743" w:type="dxa"/>
            <w:vAlign w:val="center"/>
          </w:tcPr>
          <w:p>
            <w:pPr>
              <w:spacing w:before="120" w:after="120"/>
              <w:jc w:val="center"/>
              <w:rPr>
                <w:szCs w:val="21"/>
                <w:lang w:eastAsia="ko-KR"/>
              </w:rPr>
            </w:pPr>
            <w:r>
              <w:rPr>
                <w:szCs w:val="21"/>
              </w:rPr>
              <w:t>TDD/100 MHz</w:t>
            </w:r>
          </w:p>
        </w:tc>
        <w:tc>
          <w:tcPr>
            <w:tcW w:w="3823" w:type="dxa"/>
            <w:vAlign w:val="center"/>
          </w:tcPr>
          <w:p>
            <w:pPr>
              <w:spacing w:before="120" w:after="120"/>
              <w:jc w:val="center"/>
              <w:rPr>
                <w:szCs w:val="21"/>
              </w:rPr>
            </w:pPr>
            <w:r>
              <w:rPr>
                <w:szCs w:val="21"/>
              </w:rPr>
              <w:t>FDD/20 MHz (equal split of 10MHz for UL and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Scenario</w:t>
            </w:r>
          </w:p>
        </w:tc>
        <w:tc>
          <w:tcPr>
            <w:tcW w:w="7566" w:type="dxa"/>
            <w:gridSpan w:val="2"/>
            <w:vAlign w:val="center"/>
          </w:tcPr>
          <w:p>
            <w:pPr>
              <w:pStyle w:val="51"/>
              <w:spacing w:before="120" w:after="120"/>
              <w:rPr>
                <w:rFonts w:ascii="Times New Roman" w:hAnsi="Times New Roman"/>
                <w:sz w:val="21"/>
                <w:szCs w:val="21"/>
              </w:rPr>
            </w:pPr>
            <w:r>
              <w:rPr>
                <w:rFonts w:ascii="Times New Roman" w:hAnsi="Times New Roman"/>
                <w:sz w:val="21"/>
                <w:szCs w:val="21"/>
              </w:rPr>
              <w:t>Urban Macro;</w:t>
            </w:r>
          </w:p>
          <w:p>
            <w:pPr>
              <w:spacing w:before="120" w:after="120"/>
              <w:jc w:val="center"/>
              <w:rPr>
                <w:szCs w:val="21"/>
                <w:lang w:eastAsia="ko-KR"/>
              </w:rPr>
            </w:pPr>
            <w:r>
              <w:rPr>
                <w:szCs w:val="21"/>
                <w:lang w:eastAsia="ko-KR"/>
              </w:rPr>
              <w:t xml:space="preserve">Hexagonal grid, </w:t>
            </w:r>
            <w:r>
              <w:rPr>
                <w:szCs w:val="21"/>
              </w:rPr>
              <w:t>7</w:t>
            </w:r>
            <w:r>
              <w:rPr>
                <w:szCs w:val="21"/>
                <w:lang w:eastAsia="ko-KR"/>
              </w:rPr>
              <w:t xml:space="preserve"> macro sites, 3 sectors per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Inter-BS distance</w:t>
            </w:r>
          </w:p>
        </w:tc>
        <w:tc>
          <w:tcPr>
            <w:tcW w:w="7566" w:type="dxa"/>
            <w:gridSpan w:val="2"/>
            <w:vAlign w:val="center"/>
          </w:tcPr>
          <w:p>
            <w:pPr>
              <w:spacing w:before="120" w:after="120"/>
              <w:jc w:val="center"/>
              <w:rPr>
                <w:szCs w:val="21"/>
              </w:rPr>
            </w:pPr>
            <w:r>
              <w:rPr>
                <w:szCs w:val="21"/>
              </w:rP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lang w:val="fr-FR" w:eastAsia="ko-KR"/>
              </w:rPr>
              <w:t>Min. BS - U</w:t>
            </w:r>
            <w:r>
              <w:rPr>
                <w:szCs w:val="21"/>
              </w:rPr>
              <w:t>E</w:t>
            </w:r>
            <w:r>
              <w:rPr>
                <w:szCs w:val="21"/>
                <w:lang w:val="fr-FR" w:eastAsia="ko-KR"/>
              </w:rPr>
              <w:t xml:space="preserve"> distance</w:t>
            </w:r>
          </w:p>
        </w:tc>
        <w:tc>
          <w:tcPr>
            <w:tcW w:w="7566" w:type="dxa"/>
            <w:gridSpan w:val="2"/>
            <w:vAlign w:val="center"/>
          </w:tcPr>
          <w:p>
            <w:pPr>
              <w:spacing w:before="120" w:after="120"/>
              <w:jc w:val="center"/>
              <w:rPr>
                <w:szCs w:val="21"/>
                <w:lang w:eastAsia="ko-KR"/>
              </w:rPr>
            </w:pPr>
            <w:r>
              <w:rPr>
                <w:szCs w:val="21"/>
                <w:lang w:eastAsia="ko-KR"/>
              </w:rPr>
              <w:t>35m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Carrier frequency</w:t>
            </w:r>
          </w:p>
        </w:tc>
        <w:tc>
          <w:tcPr>
            <w:tcW w:w="3743" w:type="dxa"/>
            <w:vAlign w:val="center"/>
          </w:tcPr>
          <w:p>
            <w:pPr>
              <w:spacing w:before="120" w:after="120"/>
              <w:jc w:val="center"/>
              <w:rPr>
                <w:szCs w:val="21"/>
              </w:rPr>
            </w:pPr>
            <w:r>
              <w:rPr>
                <w:szCs w:val="21"/>
              </w:rPr>
              <w:t>4GHz</w:t>
            </w:r>
          </w:p>
        </w:tc>
        <w:tc>
          <w:tcPr>
            <w:tcW w:w="3823" w:type="dxa"/>
            <w:vAlign w:val="center"/>
          </w:tcPr>
          <w:p>
            <w:pPr>
              <w:spacing w:before="120" w:after="120"/>
              <w:jc w:val="center"/>
              <w:rPr>
                <w:szCs w:val="21"/>
              </w:rPr>
            </w:pPr>
            <w:r>
              <w:rPr>
                <w:szCs w:val="21"/>
              </w:rPr>
              <w:t>2.1GHz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SCS</w:t>
            </w:r>
          </w:p>
        </w:tc>
        <w:tc>
          <w:tcPr>
            <w:tcW w:w="3743" w:type="dxa"/>
            <w:vAlign w:val="center"/>
          </w:tcPr>
          <w:p>
            <w:pPr>
              <w:spacing w:before="120" w:after="120"/>
              <w:jc w:val="center"/>
              <w:rPr>
                <w:szCs w:val="21"/>
              </w:rPr>
            </w:pPr>
            <w:r>
              <w:rPr>
                <w:szCs w:val="21"/>
              </w:rPr>
              <w:t>30KHz</w:t>
            </w:r>
          </w:p>
        </w:tc>
        <w:tc>
          <w:tcPr>
            <w:tcW w:w="3823" w:type="dxa"/>
            <w:vAlign w:val="center"/>
          </w:tcPr>
          <w:p>
            <w:pPr>
              <w:spacing w:before="120" w:after="120"/>
              <w:jc w:val="center"/>
              <w:rPr>
                <w:szCs w:val="21"/>
              </w:rPr>
            </w:pPr>
            <w:r>
              <w:rPr>
                <w:szCs w:val="21"/>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TDD pattern</w:t>
            </w:r>
          </w:p>
        </w:tc>
        <w:tc>
          <w:tcPr>
            <w:tcW w:w="3743" w:type="dxa"/>
            <w:vAlign w:val="center"/>
          </w:tcPr>
          <w:p>
            <w:pPr>
              <w:spacing w:before="120" w:after="120"/>
              <w:jc w:val="center"/>
              <w:rPr>
                <w:szCs w:val="21"/>
              </w:rPr>
            </w:pPr>
            <w:r>
              <w:rPr>
                <w:szCs w:val="21"/>
              </w:rPr>
              <w:t>DDDSU</w:t>
            </w:r>
          </w:p>
        </w:tc>
        <w:tc>
          <w:tcPr>
            <w:tcW w:w="3823" w:type="dxa"/>
            <w:vAlign w:val="center"/>
          </w:tcPr>
          <w:p>
            <w:pPr>
              <w:spacing w:before="120" w:after="120"/>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BS Antenna Configuration</w:t>
            </w:r>
          </w:p>
        </w:tc>
        <w:tc>
          <w:tcPr>
            <w:tcW w:w="3743" w:type="dxa"/>
            <w:vAlign w:val="center"/>
          </w:tcPr>
          <w:p>
            <w:pPr>
              <w:spacing w:before="120" w:after="120"/>
              <w:jc w:val="center"/>
              <w:textAlignment w:val="center"/>
              <w:rPr>
                <w:szCs w:val="21"/>
              </w:rPr>
            </w:pPr>
            <w:r>
              <w:rPr>
                <w:szCs w:val="21"/>
              </w:rPr>
              <w:t>64Tx antenna ports, and (dH, dV) = (0.5λ, 0.5λ);</w:t>
            </w:r>
          </w:p>
          <w:p>
            <w:pPr>
              <w:spacing w:before="120" w:after="120"/>
              <w:jc w:val="center"/>
              <w:textAlignment w:val="center"/>
              <w:rPr>
                <w:szCs w:val="21"/>
              </w:rPr>
            </w:pPr>
            <w:r>
              <w:rPr>
                <w:szCs w:val="21"/>
              </w:rPr>
              <w:t>64Tx: (M, N, P, Mg, Ng; Mp, Np) = (8,8,2,1,1; 4,8)</w:t>
            </w:r>
          </w:p>
          <w:p>
            <w:pPr>
              <w:spacing w:before="120" w:after="120"/>
              <w:jc w:val="center"/>
              <w:rPr>
                <w:szCs w:val="21"/>
              </w:rPr>
            </w:pPr>
            <w:r>
              <w:rPr>
                <w:szCs w:val="21"/>
              </w:rPr>
              <w:t>The antenna tilt is 12 degrees.</w:t>
            </w:r>
          </w:p>
        </w:tc>
        <w:tc>
          <w:tcPr>
            <w:tcW w:w="3823" w:type="dxa"/>
            <w:vAlign w:val="center"/>
          </w:tcPr>
          <w:p>
            <w:pPr>
              <w:spacing w:before="120" w:after="120"/>
              <w:jc w:val="center"/>
              <w:textAlignment w:val="center"/>
              <w:rPr>
                <w:szCs w:val="21"/>
              </w:rPr>
            </w:pPr>
            <w:r>
              <w:rPr>
                <w:szCs w:val="21"/>
              </w:rPr>
              <w:t>32Tx antenna ports, and (dH, dV) = (0.5λ, 0.8λ);</w:t>
            </w:r>
          </w:p>
          <w:p>
            <w:pPr>
              <w:spacing w:before="120" w:after="120"/>
              <w:jc w:val="center"/>
              <w:textAlignment w:val="center"/>
              <w:rPr>
                <w:szCs w:val="21"/>
              </w:rPr>
            </w:pPr>
            <w:r>
              <w:rPr>
                <w:szCs w:val="21"/>
              </w:rPr>
              <w:t>32Tx: (M, N, P, Mg, Ng) = (8,8,2,1,1)</w:t>
            </w:r>
          </w:p>
          <w:p>
            <w:pPr>
              <w:spacing w:before="120" w:after="120"/>
              <w:jc w:val="center"/>
              <w:rPr>
                <w:szCs w:val="21"/>
              </w:rPr>
            </w:pPr>
            <w:r>
              <w:rPr>
                <w:szCs w:val="21"/>
              </w:rPr>
              <w:t>The antenna tilt is 12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UE Antenna Configuration</w:t>
            </w:r>
          </w:p>
        </w:tc>
        <w:tc>
          <w:tcPr>
            <w:tcW w:w="7566" w:type="dxa"/>
            <w:gridSpan w:val="2"/>
            <w:vAlign w:val="center"/>
          </w:tcPr>
          <w:p>
            <w:pPr>
              <w:spacing w:before="120" w:after="120"/>
              <w:jc w:val="center"/>
              <w:textAlignment w:val="center"/>
              <w:rPr>
                <w:szCs w:val="21"/>
              </w:rPr>
            </w:pPr>
            <w:r>
              <w:rPr>
                <w:szCs w:val="21"/>
              </w:rPr>
              <w:t>4 Rx antenna ports, and dH = 0.5λ</w:t>
            </w:r>
          </w:p>
          <w:p>
            <w:pPr>
              <w:spacing w:before="120" w:after="120"/>
              <w:jc w:val="center"/>
              <w:rPr>
                <w:szCs w:val="21"/>
              </w:rPr>
            </w:pPr>
            <w:r>
              <w:rPr>
                <w:szCs w:val="21"/>
              </w:rPr>
              <w:t>4 Rx: (M, N, P, Mg, Ng; Mp, Np) = (1,2,2,1,1;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Total DL power level</w:t>
            </w:r>
          </w:p>
        </w:tc>
        <w:tc>
          <w:tcPr>
            <w:tcW w:w="3743" w:type="dxa"/>
            <w:vAlign w:val="center"/>
          </w:tcPr>
          <w:p>
            <w:pPr>
              <w:spacing w:before="120" w:after="120"/>
              <w:jc w:val="center"/>
              <w:rPr>
                <w:szCs w:val="21"/>
              </w:rPr>
            </w:pPr>
            <w:r>
              <w:rPr>
                <w:szCs w:val="21"/>
              </w:rPr>
              <w:t>55dBm</w:t>
            </w:r>
          </w:p>
        </w:tc>
        <w:tc>
          <w:tcPr>
            <w:tcW w:w="3823" w:type="dxa"/>
            <w:vAlign w:val="center"/>
          </w:tcPr>
          <w:p>
            <w:pPr>
              <w:spacing w:before="120" w:after="120"/>
              <w:jc w:val="center"/>
              <w:rPr>
                <w:szCs w:val="21"/>
              </w:rPr>
            </w:pPr>
            <w:r>
              <w:rPr>
                <w:szCs w:val="21"/>
              </w:rPr>
              <w:t>49dBm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rPr>
            </w:pPr>
            <w:r>
              <w:rPr>
                <w:szCs w:val="21"/>
              </w:rPr>
              <w:t>UE transmit power</w:t>
            </w:r>
          </w:p>
        </w:tc>
        <w:tc>
          <w:tcPr>
            <w:tcW w:w="7566" w:type="dxa"/>
            <w:gridSpan w:val="2"/>
            <w:vAlign w:val="center"/>
          </w:tcPr>
          <w:p>
            <w:pPr>
              <w:spacing w:before="120" w:after="120"/>
              <w:jc w:val="center"/>
              <w:rPr>
                <w:szCs w:val="21"/>
              </w:rPr>
            </w:pPr>
            <w:r>
              <w:rPr>
                <w:szCs w:val="21"/>
              </w:rPr>
              <w:t>23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Antenna Height</w:t>
            </w:r>
          </w:p>
        </w:tc>
        <w:tc>
          <w:tcPr>
            <w:tcW w:w="7566" w:type="dxa"/>
            <w:gridSpan w:val="2"/>
            <w:vAlign w:val="center"/>
          </w:tcPr>
          <w:p>
            <w:pPr>
              <w:spacing w:before="120" w:after="120"/>
              <w:jc w:val="center"/>
              <w:rPr>
                <w:szCs w:val="21"/>
              </w:rPr>
            </w:pPr>
            <w:r>
              <w:rPr>
                <w:szCs w:val="21"/>
              </w:rPr>
              <w:t>25 m for BS and 1.5 m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8" w:type="dxa"/>
            <w:vAlign w:val="center"/>
          </w:tcPr>
          <w:p>
            <w:pPr>
              <w:spacing w:before="120" w:after="120"/>
              <w:jc w:val="center"/>
              <w:rPr>
                <w:szCs w:val="21"/>
                <w:lang w:eastAsia="ko-KR"/>
              </w:rPr>
            </w:pPr>
            <w:r>
              <w:rPr>
                <w:szCs w:val="21"/>
              </w:rPr>
              <w:t>Antenna Element Gain</w:t>
            </w:r>
          </w:p>
        </w:tc>
        <w:tc>
          <w:tcPr>
            <w:tcW w:w="7566" w:type="dxa"/>
            <w:gridSpan w:val="2"/>
            <w:vAlign w:val="center"/>
          </w:tcPr>
          <w:p>
            <w:pPr>
              <w:spacing w:before="120" w:after="120"/>
              <w:jc w:val="center"/>
              <w:rPr>
                <w:szCs w:val="21"/>
              </w:rPr>
            </w:pPr>
            <w:r>
              <w:rPr>
                <w:szCs w:val="21"/>
              </w:rPr>
              <w:t>8dBi for BS and 0 dBi for UE</w:t>
            </w:r>
          </w:p>
        </w:tc>
      </w:tr>
    </w:tbl>
    <w:p>
      <w:pPr>
        <w:spacing w:before="120" w:after="120"/>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8"/>
                            <w:spacing w:before="120" w:after="12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singleLevel"/>
    <w:tmpl w:val="AB34B193"/>
    <w:lvl w:ilvl="0" w:tentative="0">
      <w:start w:val="1"/>
      <w:numFmt w:val="decimal"/>
      <w:pStyle w:val="60"/>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1">
    <w:nsid w:val="BD0CA652"/>
    <w:multiLevelType w:val="multilevel"/>
    <w:tmpl w:val="BD0CA652"/>
    <w:lvl w:ilvl="0" w:tentative="0">
      <w:start w:val="1"/>
      <w:numFmt w:val="decimal"/>
      <w:pStyle w:val="61"/>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F05EF204"/>
    <w:multiLevelType w:val="multilevel"/>
    <w:tmpl w:val="F05EF20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0476704F"/>
    <w:multiLevelType w:val="singleLevel"/>
    <w:tmpl w:val="0476704F"/>
    <w:lvl w:ilvl="0" w:tentative="0">
      <w:start w:val="1"/>
      <w:numFmt w:val="bullet"/>
      <w:lvlText w:val=""/>
      <w:lvlJc w:val="left"/>
      <w:pPr>
        <w:ind w:left="420" w:hanging="420"/>
      </w:pPr>
      <w:rPr>
        <w:rFonts w:hint="default" w:ascii="Wingdings" w:hAnsi="Wingdings"/>
        <w:sz w:val="16"/>
        <w:szCs w:val="16"/>
      </w:rPr>
    </w:lvl>
  </w:abstractNum>
  <w:abstractNum w:abstractNumId="4">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2977"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0" w:firstLine="0"/>
      </w:pPr>
      <w:rPr>
        <w:rFonts w:hint="default" w:ascii="Arial" w:hAnsi="Arial" w:cs="Arial"/>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19E1725B"/>
    <w:multiLevelType w:val="multilevel"/>
    <w:tmpl w:val="19E1725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220C65D6"/>
    <w:multiLevelType w:val="multilevel"/>
    <w:tmpl w:val="220C65D6"/>
    <w:lvl w:ilvl="0" w:tentative="0">
      <w:start w:val="1"/>
      <w:numFmt w:val="bullet"/>
      <w:lvlText w:val="-"/>
      <w:lvlJc w:val="left"/>
      <w:pPr>
        <w:ind w:left="420" w:hanging="420"/>
      </w:pPr>
      <w:rPr>
        <w:rFonts w:hint="default" w:ascii="Verdana" w:hAnsi="Verdan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8">
    <w:nsid w:val="40E5040F"/>
    <w:multiLevelType w:val="singleLevel"/>
    <w:tmpl w:val="40E5040F"/>
    <w:lvl w:ilvl="0" w:tentative="0">
      <w:start w:val="1"/>
      <w:numFmt w:val="lowerLetter"/>
      <w:suff w:val="space"/>
      <w:lvlText w:val="(%1)"/>
      <w:lvlJc w:val="left"/>
    </w:lvl>
  </w:abstractNum>
  <w:abstractNum w:abstractNumId="9">
    <w:nsid w:val="56C91BCA"/>
    <w:multiLevelType w:val="multilevel"/>
    <w:tmpl w:val="56C91BCA"/>
    <w:lvl w:ilvl="0" w:tentative="0">
      <w:start w:val="1"/>
      <w:numFmt w:val="bullet"/>
      <w:lvlText w:val="-"/>
      <w:lvlJc w:val="left"/>
      <w:pPr>
        <w:ind w:left="420" w:hanging="420"/>
      </w:pPr>
      <w:rPr>
        <w:rFonts w:hint="default" w:ascii="Verdana" w:hAnsi="Verdan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745B0E9A"/>
    <w:multiLevelType w:val="singleLevel"/>
    <w:tmpl w:val="745B0E9A"/>
    <w:lvl w:ilvl="0" w:tentative="0">
      <w:start w:val="2"/>
      <w:numFmt w:val="decimal"/>
      <w:suff w:val="space"/>
      <w:lvlText w:val="%1."/>
      <w:lvlJc w:val="left"/>
    </w:lvl>
  </w:abstractNum>
  <w:abstractNum w:abstractNumId="11">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7"/>
  </w:num>
  <w:num w:numId="3">
    <w:abstractNumId w:val="0"/>
  </w:num>
  <w:num w:numId="4">
    <w:abstractNumId w:val="1"/>
  </w:num>
  <w:num w:numId="5">
    <w:abstractNumId w:val="10"/>
  </w:num>
  <w:num w:numId="6">
    <w:abstractNumId w:val="11"/>
  </w:num>
  <w:num w:numId="7">
    <w:abstractNumId w:val="2"/>
  </w:num>
  <w:num w:numId="8">
    <w:abstractNumId w:val="8"/>
  </w:num>
  <w:num w:numId="9">
    <w:abstractNumId w:val="3"/>
  </w:num>
  <w:num w:numId="10">
    <w:abstractNumId w:val="9"/>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trackRevisions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50423"/>
    <w:rsid w:val="00051F4E"/>
    <w:rsid w:val="000529AC"/>
    <w:rsid w:val="00072FB0"/>
    <w:rsid w:val="00093DF3"/>
    <w:rsid w:val="000A15BE"/>
    <w:rsid w:val="000C1A96"/>
    <w:rsid w:val="000D0462"/>
    <w:rsid w:val="000E2433"/>
    <w:rsid w:val="000F28CA"/>
    <w:rsid w:val="00103906"/>
    <w:rsid w:val="00142961"/>
    <w:rsid w:val="001470AA"/>
    <w:rsid w:val="00153BF7"/>
    <w:rsid w:val="0016113B"/>
    <w:rsid w:val="001632AB"/>
    <w:rsid w:val="00172A27"/>
    <w:rsid w:val="001754AE"/>
    <w:rsid w:val="0018732E"/>
    <w:rsid w:val="00191912"/>
    <w:rsid w:val="00195F46"/>
    <w:rsid w:val="001B3634"/>
    <w:rsid w:val="001C1894"/>
    <w:rsid w:val="001C196F"/>
    <w:rsid w:val="001D1287"/>
    <w:rsid w:val="001E125B"/>
    <w:rsid w:val="001E262F"/>
    <w:rsid w:val="001F1BB1"/>
    <w:rsid w:val="001F415E"/>
    <w:rsid w:val="001F4EF2"/>
    <w:rsid w:val="001F6E58"/>
    <w:rsid w:val="0020406B"/>
    <w:rsid w:val="00212872"/>
    <w:rsid w:val="00216169"/>
    <w:rsid w:val="002240E1"/>
    <w:rsid w:val="00224A1A"/>
    <w:rsid w:val="00227DF5"/>
    <w:rsid w:val="002320CA"/>
    <w:rsid w:val="002401EC"/>
    <w:rsid w:val="00243B44"/>
    <w:rsid w:val="00244ABB"/>
    <w:rsid w:val="00247A67"/>
    <w:rsid w:val="00251814"/>
    <w:rsid w:val="00256B05"/>
    <w:rsid w:val="00261C72"/>
    <w:rsid w:val="0026766E"/>
    <w:rsid w:val="002748A9"/>
    <w:rsid w:val="00282069"/>
    <w:rsid w:val="00290ABB"/>
    <w:rsid w:val="002B4661"/>
    <w:rsid w:val="002C4448"/>
    <w:rsid w:val="002C68AC"/>
    <w:rsid w:val="002C7CCD"/>
    <w:rsid w:val="002D52DC"/>
    <w:rsid w:val="002F037D"/>
    <w:rsid w:val="002F0E7A"/>
    <w:rsid w:val="002F2535"/>
    <w:rsid w:val="002F5687"/>
    <w:rsid w:val="002F5A8D"/>
    <w:rsid w:val="00302F20"/>
    <w:rsid w:val="00303936"/>
    <w:rsid w:val="00314748"/>
    <w:rsid w:val="00316046"/>
    <w:rsid w:val="00317501"/>
    <w:rsid w:val="00322EE2"/>
    <w:rsid w:val="00325902"/>
    <w:rsid w:val="003275A3"/>
    <w:rsid w:val="00332B24"/>
    <w:rsid w:val="00332D30"/>
    <w:rsid w:val="0033573E"/>
    <w:rsid w:val="00335FF9"/>
    <w:rsid w:val="0034009F"/>
    <w:rsid w:val="00340631"/>
    <w:rsid w:val="00343CE4"/>
    <w:rsid w:val="00344E48"/>
    <w:rsid w:val="003466BB"/>
    <w:rsid w:val="0035253F"/>
    <w:rsid w:val="00361D52"/>
    <w:rsid w:val="003704FF"/>
    <w:rsid w:val="00370D7F"/>
    <w:rsid w:val="00372A00"/>
    <w:rsid w:val="00373667"/>
    <w:rsid w:val="00376E4B"/>
    <w:rsid w:val="00376EEB"/>
    <w:rsid w:val="003872BB"/>
    <w:rsid w:val="00396F31"/>
    <w:rsid w:val="00397BA3"/>
    <w:rsid w:val="003A1DCE"/>
    <w:rsid w:val="003A4365"/>
    <w:rsid w:val="003A6BBE"/>
    <w:rsid w:val="003A7EAD"/>
    <w:rsid w:val="003B53DF"/>
    <w:rsid w:val="003D44C6"/>
    <w:rsid w:val="003F7415"/>
    <w:rsid w:val="004003D2"/>
    <w:rsid w:val="00417C55"/>
    <w:rsid w:val="004209E1"/>
    <w:rsid w:val="0042238B"/>
    <w:rsid w:val="00424C58"/>
    <w:rsid w:val="00450C17"/>
    <w:rsid w:val="004527B1"/>
    <w:rsid w:val="004545A5"/>
    <w:rsid w:val="004608F6"/>
    <w:rsid w:val="004724B4"/>
    <w:rsid w:val="00472B06"/>
    <w:rsid w:val="00477655"/>
    <w:rsid w:val="0048120F"/>
    <w:rsid w:val="00482706"/>
    <w:rsid w:val="00490434"/>
    <w:rsid w:val="00495794"/>
    <w:rsid w:val="004A142B"/>
    <w:rsid w:val="004A5D1D"/>
    <w:rsid w:val="004A699E"/>
    <w:rsid w:val="004B44A9"/>
    <w:rsid w:val="004C1A54"/>
    <w:rsid w:val="004F5994"/>
    <w:rsid w:val="00500F45"/>
    <w:rsid w:val="00503921"/>
    <w:rsid w:val="00507A00"/>
    <w:rsid w:val="005176E7"/>
    <w:rsid w:val="00523589"/>
    <w:rsid w:val="00523668"/>
    <w:rsid w:val="00523AD9"/>
    <w:rsid w:val="00523D5E"/>
    <w:rsid w:val="00527033"/>
    <w:rsid w:val="00531B5B"/>
    <w:rsid w:val="00532500"/>
    <w:rsid w:val="005349A5"/>
    <w:rsid w:val="00541B22"/>
    <w:rsid w:val="00546436"/>
    <w:rsid w:val="00547723"/>
    <w:rsid w:val="00564BCB"/>
    <w:rsid w:val="00572F6E"/>
    <w:rsid w:val="00574776"/>
    <w:rsid w:val="0058526A"/>
    <w:rsid w:val="0059321F"/>
    <w:rsid w:val="00593818"/>
    <w:rsid w:val="005A05C6"/>
    <w:rsid w:val="005A0FE9"/>
    <w:rsid w:val="005B77A5"/>
    <w:rsid w:val="005C6B42"/>
    <w:rsid w:val="005D6A1C"/>
    <w:rsid w:val="005E2C89"/>
    <w:rsid w:val="005F26E5"/>
    <w:rsid w:val="006007DF"/>
    <w:rsid w:val="00611232"/>
    <w:rsid w:val="00614E28"/>
    <w:rsid w:val="00617327"/>
    <w:rsid w:val="00617EE7"/>
    <w:rsid w:val="00620288"/>
    <w:rsid w:val="00620D7C"/>
    <w:rsid w:val="006231ED"/>
    <w:rsid w:val="00624C23"/>
    <w:rsid w:val="00633E43"/>
    <w:rsid w:val="00637D11"/>
    <w:rsid w:val="00640B94"/>
    <w:rsid w:val="00642298"/>
    <w:rsid w:val="00646EAA"/>
    <w:rsid w:val="006501AA"/>
    <w:rsid w:val="006536B8"/>
    <w:rsid w:val="00654F58"/>
    <w:rsid w:val="00676C72"/>
    <w:rsid w:val="00680FFF"/>
    <w:rsid w:val="00691376"/>
    <w:rsid w:val="00692262"/>
    <w:rsid w:val="006922EF"/>
    <w:rsid w:val="00694EF8"/>
    <w:rsid w:val="00694FB9"/>
    <w:rsid w:val="006C2229"/>
    <w:rsid w:val="006C55B1"/>
    <w:rsid w:val="006C69C1"/>
    <w:rsid w:val="006D11DE"/>
    <w:rsid w:val="006D3D89"/>
    <w:rsid w:val="006E01C3"/>
    <w:rsid w:val="006F4852"/>
    <w:rsid w:val="00700636"/>
    <w:rsid w:val="00701BF9"/>
    <w:rsid w:val="00702644"/>
    <w:rsid w:val="007036F7"/>
    <w:rsid w:val="0070691A"/>
    <w:rsid w:val="0070693A"/>
    <w:rsid w:val="00717A38"/>
    <w:rsid w:val="0073053B"/>
    <w:rsid w:val="00735DC1"/>
    <w:rsid w:val="007427BB"/>
    <w:rsid w:val="007440A2"/>
    <w:rsid w:val="00745143"/>
    <w:rsid w:val="00747C56"/>
    <w:rsid w:val="007501AC"/>
    <w:rsid w:val="00762F1B"/>
    <w:rsid w:val="0076682E"/>
    <w:rsid w:val="0077581A"/>
    <w:rsid w:val="0077761A"/>
    <w:rsid w:val="00784828"/>
    <w:rsid w:val="00785A2A"/>
    <w:rsid w:val="00786A2C"/>
    <w:rsid w:val="00787FA9"/>
    <w:rsid w:val="007A0CD8"/>
    <w:rsid w:val="007B0FD9"/>
    <w:rsid w:val="007B458B"/>
    <w:rsid w:val="007C4328"/>
    <w:rsid w:val="007C440F"/>
    <w:rsid w:val="007E4A23"/>
    <w:rsid w:val="007F39F4"/>
    <w:rsid w:val="00802A15"/>
    <w:rsid w:val="00810C42"/>
    <w:rsid w:val="00816EF3"/>
    <w:rsid w:val="008266C4"/>
    <w:rsid w:val="00832296"/>
    <w:rsid w:val="008412CD"/>
    <w:rsid w:val="0084332A"/>
    <w:rsid w:val="00847621"/>
    <w:rsid w:val="00852635"/>
    <w:rsid w:val="0085443B"/>
    <w:rsid w:val="00857E93"/>
    <w:rsid w:val="008652E8"/>
    <w:rsid w:val="00870679"/>
    <w:rsid w:val="00870E40"/>
    <w:rsid w:val="00886E49"/>
    <w:rsid w:val="00886EA7"/>
    <w:rsid w:val="00892B4C"/>
    <w:rsid w:val="00893268"/>
    <w:rsid w:val="0089344F"/>
    <w:rsid w:val="00894520"/>
    <w:rsid w:val="008A72B5"/>
    <w:rsid w:val="008B3130"/>
    <w:rsid w:val="008B547D"/>
    <w:rsid w:val="008B5C48"/>
    <w:rsid w:val="008B7F10"/>
    <w:rsid w:val="008C0445"/>
    <w:rsid w:val="008E6A5C"/>
    <w:rsid w:val="008F255E"/>
    <w:rsid w:val="008F3DC8"/>
    <w:rsid w:val="00903A35"/>
    <w:rsid w:val="00922624"/>
    <w:rsid w:val="00923BDA"/>
    <w:rsid w:val="0093617A"/>
    <w:rsid w:val="009411A5"/>
    <w:rsid w:val="00946A7C"/>
    <w:rsid w:val="00950DB1"/>
    <w:rsid w:val="00952C83"/>
    <w:rsid w:val="00957418"/>
    <w:rsid w:val="009610C6"/>
    <w:rsid w:val="0096194F"/>
    <w:rsid w:val="00966E7D"/>
    <w:rsid w:val="00970630"/>
    <w:rsid w:val="00971A1F"/>
    <w:rsid w:val="009734B7"/>
    <w:rsid w:val="00983FE2"/>
    <w:rsid w:val="00986B97"/>
    <w:rsid w:val="00994A41"/>
    <w:rsid w:val="009A380A"/>
    <w:rsid w:val="009A3A36"/>
    <w:rsid w:val="009A4F31"/>
    <w:rsid w:val="009B05AD"/>
    <w:rsid w:val="009B18A3"/>
    <w:rsid w:val="009B5557"/>
    <w:rsid w:val="009D6400"/>
    <w:rsid w:val="009D7770"/>
    <w:rsid w:val="009D7C12"/>
    <w:rsid w:val="009F630C"/>
    <w:rsid w:val="009F65A8"/>
    <w:rsid w:val="009F7747"/>
    <w:rsid w:val="00A05A33"/>
    <w:rsid w:val="00A14F22"/>
    <w:rsid w:val="00A16F82"/>
    <w:rsid w:val="00A171E5"/>
    <w:rsid w:val="00A17810"/>
    <w:rsid w:val="00A21523"/>
    <w:rsid w:val="00A26720"/>
    <w:rsid w:val="00A33BD9"/>
    <w:rsid w:val="00A40C3F"/>
    <w:rsid w:val="00A4182C"/>
    <w:rsid w:val="00A50B2A"/>
    <w:rsid w:val="00A51CDD"/>
    <w:rsid w:val="00A54A48"/>
    <w:rsid w:val="00A551E2"/>
    <w:rsid w:val="00A56849"/>
    <w:rsid w:val="00A656E5"/>
    <w:rsid w:val="00A809DB"/>
    <w:rsid w:val="00A86EB5"/>
    <w:rsid w:val="00A91773"/>
    <w:rsid w:val="00A92854"/>
    <w:rsid w:val="00A92CA8"/>
    <w:rsid w:val="00AA1889"/>
    <w:rsid w:val="00AB0AAF"/>
    <w:rsid w:val="00AB251B"/>
    <w:rsid w:val="00AB5108"/>
    <w:rsid w:val="00AB6D34"/>
    <w:rsid w:val="00AC24BF"/>
    <w:rsid w:val="00AD56C4"/>
    <w:rsid w:val="00AD7FE5"/>
    <w:rsid w:val="00AE5530"/>
    <w:rsid w:val="00B031EF"/>
    <w:rsid w:val="00B11405"/>
    <w:rsid w:val="00B138E9"/>
    <w:rsid w:val="00B179E3"/>
    <w:rsid w:val="00B245AA"/>
    <w:rsid w:val="00B34FF8"/>
    <w:rsid w:val="00B43645"/>
    <w:rsid w:val="00B54730"/>
    <w:rsid w:val="00B56091"/>
    <w:rsid w:val="00B60F6C"/>
    <w:rsid w:val="00B663FA"/>
    <w:rsid w:val="00B76824"/>
    <w:rsid w:val="00B81C3C"/>
    <w:rsid w:val="00B87AB7"/>
    <w:rsid w:val="00BA72B7"/>
    <w:rsid w:val="00BA7674"/>
    <w:rsid w:val="00BB0837"/>
    <w:rsid w:val="00BB08C4"/>
    <w:rsid w:val="00BB2502"/>
    <w:rsid w:val="00BD72A5"/>
    <w:rsid w:val="00BE22EC"/>
    <w:rsid w:val="00BE5D22"/>
    <w:rsid w:val="00BF526E"/>
    <w:rsid w:val="00BF743C"/>
    <w:rsid w:val="00C07C74"/>
    <w:rsid w:val="00C12784"/>
    <w:rsid w:val="00C1485F"/>
    <w:rsid w:val="00C16276"/>
    <w:rsid w:val="00C2142E"/>
    <w:rsid w:val="00C22FCF"/>
    <w:rsid w:val="00C2334E"/>
    <w:rsid w:val="00C2713A"/>
    <w:rsid w:val="00C34FD0"/>
    <w:rsid w:val="00C35189"/>
    <w:rsid w:val="00C4782F"/>
    <w:rsid w:val="00C625E3"/>
    <w:rsid w:val="00C67AE3"/>
    <w:rsid w:val="00C76271"/>
    <w:rsid w:val="00C829B3"/>
    <w:rsid w:val="00C855D2"/>
    <w:rsid w:val="00C922BC"/>
    <w:rsid w:val="00C925E7"/>
    <w:rsid w:val="00CA09F5"/>
    <w:rsid w:val="00CA152B"/>
    <w:rsid w:val="00CB03D7"/>
    <w:rsid w:val="00CB046A"/>
    <w:rsid w:val="00CB7FB3"/>
    <w:rsid w:val="00CC01B0"/>
    <w:rsid w:val="00CC11A8"/>
    <w:rsid w:val="00CD5E4A"/>
    <w:rsid w:val="00CD62C4"/>
    <w:rsid w:val="00CE32ED"/>
    <w:rsid w:val="00CF0062"/>
    <w:rsid w:val="00CF25E8"/>
    <w:rsid w:val="00CF4293"/>
    <w:rsid w:val="00D06F00"/>
    <w:rsid w:val="00D14578"/>
    <w:rsid w:val="00D24465"/>
    <w:rsid w:val="00D27BF8"/>
    <w:rsid w:val="00D30D70"/>
    <w:rsid w:val="00D30FF6"/>
    <w:rsid w:val="00D47961"/>
    <w:rsid w:val="00D54F1B"/>
    <w:rsid w:val="00D57D7B"/>
    <w:rsid w:val="00D60DA9"/>
    <w:rsid w:val="00D701BB"/>
    <w:rsid w:val="00D714E2"/>
    <w:rsid w:val="00D7289E"/>
    <w:rsid w:val="00D82051"/>
    <w:rsid w:val="00D82CF5"/>
    <w:rsid w:val="00D838A0"/>
    <w:rsid w:val="00D871C4"/>
    <w:rsid w:val="00D8785A"/>
    <w:rsid w:val="00D91349"/>
    <w:rsid w:val="00D92E3B"/>
    <w:rsid w:val="00DA4CA6"/>
    <w:rsid w:val="00DB0E95"/>
    <w:rsid w:val="00DB12AD"/>
    <w:rsid w:val="00DC0C4F"/>
    <w:rsid w:val="00DC1213"/>
    <w:rsid w:val="00DC6E1E"/>
    <w:rsid w:val="00DC70F6"/>
    <w:rsid w:val="00DC724A"/>
    <w:rsid w:val="00DD5F49"/>
    <w:rsid w:val="00DF4482"/>
    <w:rsid w:val="00E05651"/>
    <w:rsid w:val="00E068AA"/>
    <w:rsid w:val="00E258FC"/>
    <w:rsid w:val="00E30348"/>
    <w:rsid w:val="00E339EA"/>
    <w:rsid w:val="00E52879"/>
    <w:rsid w:val="00E55791"/>
    <w:rsid w:val="00E56340"/>
    <w:rsid w:val="00E67009"/>
    <w:rsid w:val="00E704FD"/>
    <w:rsid w:val="00E71F91"/>
    <w:rsid w:val="00E74935"/>
    <w:rsid w:val="00E75D6F"/>
    <w:rsid w:val="00E8609B"/>
    <w:rsid w:val="00E92BF0"/>
    <w:rsid w:val="00E94718"/>
    <w:rsid w:val="00E95FFE"/>
    <w:rsid w:val="00EA0820"/>
    <w:rsid w:val="00EB70EA"/>
    <w:rsid w:val="00ED0DCA"/>
    <w:rsid w:val="00ED47A7"/>
    <w:rsid w:val="00EE1EE7"/>
    <w:rsid w:val="00F019E9"/>
    <w:rsid w:val="00F05DFC"/>
    <w:rsid w:val="00F072E8"/>
    <w:rsid w:val="00F143A1"/>
    <w:rsid w:val="00F1480F"/>
    <w:rsid w:val="00F179F3"/>
    <w:rsid w:val="00F2072B"/>
    <w:rsid w:val="00F34277"/>
    <w:rsid w:val="00F4372E"/>
    <w:rsid w:val="00F453FE"/>
    <w:rsid w:val="00F50A28"/>
    <w:rsid w:val="00F71825"/>
    <w:rsid w:val="00F80169"/>
    <w:rsid w:val="00F81514"/>
    <w:rsid w:val="00F82200"/>
    <w:rsid w:val="00F86352"/>
    <w:rsid w:val="00F87040"/>
    <w:rsid w:val="00F95A32"/>
    <w:rsid w:val="00FA3FD9"/>
    <w:rsid w:val="00FA6AF6"/>
    <w:rsid w:val="00FA7D65"/>
    <w:rsid w:val="00FB593A"/>
    <w:rsid w:val="00FC20D8"/>
    <w:rsid w:val="00FC72FB"/>
    <w:rsid w:val="00FE0900"/>
    <w:rsid w:val="00FE1B37"/>
    <w:rsid w:val="010D0267"/>
    <w:rsid w:val="010D6400"/>
    <w:rsid w:val="01116D56"/>
    <w:rsid w:val="011C7F2E"/>
    <w:rsid w:val="01466B34"/>
    <w:rsid w:val="014D6DB0"/>
    <w:rsid w:val="015462A2"/>
    <w:rsid w:val="01804EE8"/>
    <w:rsid w:val="01864AED"/>
    <w:rsid w:val="01881F56"/>
    <w:rsid w:val="01885910"/>
    <w:rsid w:val="01987E73"/>
    <w:rsid w:val="01B74129"/>
    <w:rsid w:val="01C652D7"/>
    <w:rsid w:val="01E24E7A"/>
    <w:rsid w:val="01E96EEF"/>
    <w:rsid w:val="0206750A"/>
    <w:rsid w:val="02081A95"/>
    <w:rsid w:val="020C3735"/>
    <w:rsid w:val="0213167F"/>
    <w:rsid w:val="021919F7"/>
    <w:rsid w:val="021F5697"/>
    <w:rsid w:val="023E4DC6"/>
    <w:rsid w:val="02443513"/>
    <w:rsid w:val="024C16A6"/>
    <w:rsid w:val="02607B71"/>
    <w:rsid w:val="027B6543"/>
    <w:rsid w:val="027C2452"/>
    <w:rsid w:val="0294765E"/>
    <w:rsid w:val="02A23A7B"/>
    <w:rsid w:val="02BE42E8"/>
    <w:rsid w:val="02DC2417"/>
    <w:rsid w:val="031A6DDF"/>
    <w:rsid w:val="032219B3"/>
    <w:rsid w:val="035F7137"/>
    <w:rsid w:val="0368661B"/>
    <w:rsid w:val="03817C6C"/>
    <w:rsid w:val="03F50BF8"/>
    <w:rsid w:val="03F757EE"/>
    <w:rsid w:val="040D5006"/>
    <w:rsid w:val="04176B15"/>
    <w:rsid w:val="04250069"/>
    <w:rsid w:val="042622D3"/>
    <w:rsid w:val="04332B60"/>
    <w:rsid w:val="044D1A33"/>
    <w:rsid w:val="04B147BC"/>
    <w:rsid w:val="04BB6B80"/>
    <w:rsid w:val="04BC60C1"/>
    <w:rsid w:val="04C30E81"/>
    <w:rsid w:val="04D2235B"/>
    <w:rsid w:val="04D92E2A"/>
    <w:rsid w:val="04E942AF"/>
    <w:rsid w:val="05072F43"/>
    <w:rsid w:val="051A21ED"/>
    <w:rsid w:val="0526776A"/>
    <w:rsid w:val="052E7C86"/>
    <w:rsid w:val="05396067"/>
    <w:rsid w:val="053962A9"/>
    <w:rsid w:val="05421686"/>
    <w:rsid w:val="054B7C66"/>
    <w:rsid w:val="054E3F97"/>
    <w:rsid w:val="054F7EC4"/>
    <w:rsid w:val="055F3E8F"/>
    <w:rsid w:val="05631304"/>
    <w:rsid w:val="05965B13"/>
    <w:rsid w:val="05A154E4"/>
    <w:rsid w:val="05AA751F"/>
    <w:rsid w:val="05AB3E4C"/>
    <w:rsid w:val="05C40254"/>
    <w:rsid w:val="05D01949"/>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1D2135"/>
    <w:rsid w:val="073C0F1E"/>
    <w:rsid w:val="07573824"/>
    <w:rsid w:val="075A5568"/>
    <w:rsid w:val="077046F9"/>
    <w:rsid w:val="07816512"/>
    <w:rsid w:val="07945B41"/>
    <w:rsid w:val="0797540B"/>
    <w:rsid w:val="07C51163"/>
    <w:rsid w:val="07EC0192"/>
    <w:rsid w:val="07F63B68"/>
    <w:rsid w:val="07FE43B3"/>
    <w:rsid w:val="07FF469C"/>
    <w:rsid w:val="08067A83"/>
    <w:rsid w:val="080C2DB1"/>
    <w:rsid w:val="083900EE"/>
    <w:rsid w:val="084F55D9"/>
    <w:rsid w:val="086F5C08"/>
    <w:rsid w:val="087807B5"/>
    <w:rsid w:val="087C2BF1"/>
    <w:rsid w:val="088D322F"/>
    <w:rsid w:val="089D4BC3"/>
    <w:rsid w:val="08A367A0"/>
    <w:rsid w:val="08AD693C"/>
    <w:rsid w:val="08CA4673"/>
    <w:rsid w:val="08D24C49"/>
    <w:rsid w:val="08D545C6"/>
    <w:rsid w:val="08D92F9A"/>
    <w:rsid w:val="08E152BA"/>
    <w:rsid w:val="08E3236B"/>
    <w:rsid w:val="08E41C3F"/>
    <w:rsid w:val="08F362FF"/>
    <w:rsid w:val="08F76659"/>
    <w:rsid w:val="092A35DC"/>
    <w:rsid w:val="09565EE1"/>
    <w:rsid w:val="09733A93"/>
    <w:rsid w:val="09773AD2"/>
    <w:rsid w:val="09912D87"/>
    <w:rsid w:val="099D1F0E"/>
    <w:rsid w:val="09A13012"/>
    <w:rsid w:val="09B8038E"/>
    <w:rsid w:val="09B807DC"/>
    <w:rsid w:val="09B96487"/>
    <w:rsid w:val="09BB1324"/>
    <w:rsid w:val="09DD5F33"/>
    <w:rsid w:val="09E2510B"/>
    <w:rsid w:val="09E2618B"/>
    <w:rsid w:val="0A0D0A5C"/>
    <w:rsid w:val="0A1332A7"/>
    <w:rsid w:val="0A1434BD"/>
    <w:rsid w:val="0A177598"/>
    <w:rsid w:val="0A2A0A4E"/>
    <w:rsid w:val="0A33259C"/>
    <w:rsid w:val="0A670FF2"/>
    <w:rsid w:val="0A8E1D22"/>
    <w:rsid w:val="0A902401"/>
    <w:rsid w:val="0AA04A08"/>
    <w:rsid w:val="0AC857E6"/>
    <w:rsid w:val="0AF011AC"/>
    <w:rsid w:val="0AF323F9"/>
    <w:rsid w:val="0AFE6CA0"/>
    <w:rsid w:val="0B133891"/>
    <w:rsid w:val="0B17278B"/>
    <w:rsid w:val="0B19257F"/>
    <w:rsid w:val="0B2161DE"/>
    <w:rsid w:val="0B24227A"/>
    <w:rsid w:val="0B2C066D"/>
    <w:rsid w:val="0B372F62"/>
    <w:rsid w:val="0B527D96"/>
    <w:rsid w:val="0B695CCE"/>
    <w:rsid w:val="0B867DD4"/>
    <w:rsid w:val="0B8906D5"/>
    <w:rsid w:val="0B990F05"/>
    <w:rsid w:val="0BA163C4"/>
    <w:rsid w:val="0BBA4C3E"/>
    <w:rsid w:val="0BC527E7"/>
    <w:rsid w:val="0BDE30C9"/>
    <w:rsid w:val="0BE9216B"/>
    <w:rsid w:val="0C04199B"/>
    <w:rsid w:val="0C0B0A79"/>
    <w:rsid w:val="0C182984"/>
    <w:rsid w:val="0C233DDB"/>
    <w:rsid w:val="0C243614"/>
    <w:rsid w:val="0C641CE4"/>
    <w:rsid w:val="0C8E4C85"/>
    <w:rsid w:val="0C9A21C7"/>
    <w:rsid w:val="0CBA3E26"/>
    <w:rsid w:val="0CC86926"/>
    <w:rsid w:val="0CCA2E65"/>
    <w:rsid w:val="0CD87B6A"/>
    <w:rsid w:val="0CE70F5A"/>
    <w:rsid w:val="0CED70FB"/>
    <w:rsid w:val="0CF04B26"/>
    <w:rsid w:val="0D274B82"/>
    <w:rsid w:val="0D6718A8"/>
    <w:rsid w:val="0D8A5C4C"/>
    <w:rsid w:val="0D9D3B84"/>
    <w:rsid w:val="0DA826B2"/>
    <w:rsid w:val="0DC46801"/>
    <w:rsid w:val="0DD03A03"/>
    <w:rsid w:val="0DDA5E66"/>
    <w:rsid w:val="0DE80CCD"/>
    <w:rsid w:val="0DE92A73"/>
    <w:rsid w:val="0DFC6FB1"/>
    <w:rsid w:val="0E0411D0"/>
    <w:rsid w:val="0E1B6666"/>
    <w:rsid w:val="0E342F61"/>
    <w:rsid w:val="0E546450"/>
    <w:rsid w:val="0E6A657A"/>
    <w:rsid w:val="0E8756CE"/>
    <w:rsid w:val="0E875907"/>
    <w:rsid w:val="0E986AED"/>
    <w:rsid w:val="0E9E306F"/>
    <w:rsid w:val="0EBE485B"/>
    <w:rsid w:val="0ECE319D"/>
    <w:rsid w:val="0EE11FA9"/>
    <w:rsid w:val="0EEE11BD"/>
    <w:rsid w:val="0EF36676"/>
    <w:rsid w:val="0EFF2521"/>
    <w:rsid w:val="0F0E45C0"/>
    <w:rsid w:val="0F121040"/>
    <w:rsid w:val="0F1C6E40"/>
    <w:rsid w:val="0F244800"/>
    <w:rsid w:val="0F343655"/>
    <w:rsid w:val="0F3A7314"/>
    <w:rsid w:val="0F644218"/>
    <w:rsid w:val="0F7D1FFA"/>
    <w:rsid w:val="0F8E4908"/>
    <w:rsid w:val="0F913335"/>
    <w:rsid w:val="0F96680B"/>
    <w:rsid w:val="0FB60B75"/>
    <w:rsid w:val="0FD96CA9"/>
    <w:rsid w:val="0FDD68DC"/>
    <w:rsid w:val="0FF15BB9"/>
    <w:rsid w:val="0FF906E7"/>
    <w:rsid w:val="0FFD586A"/>
    <w:rsid w:val="10020B62"/>
    <w:rsid w:val="10087FF8"/>
    <w:rsid w:val="10135C77"/>
    <w:rsid w:val="1035011A"/>
    <w:rsid w:val="103607AE"/>
    <w:rsid w:val="10384280"/>
    <w:rsid w:val="105D7F23"/>
    <w:rsid w:val="108E0879"/>
    <w:rsid w:val="10B2070B"/>
    <w:rsid w:val="10C359D9"/>
    <w:rsid w:val="11011524"/>
    <w:rsid w:val="110877A1"/>
    <w:rsid w:val="110D72EA"/>
    <w:rsid w:val="110E7959"/>
    <w:rsid w:val="1119722C"/>
    <w:rsid w:val="1127264D"/>
    <w:rsid w:val="11434434"/>
    <w:rsid w:val="114A05F1"/>
    <w:rsid w:val="11517E5A"/>
    <w:rsid w:val="115217E0"/>
    <w:rsid w:val="115C58D6"/>
    <w:rsid w:val="11604BE2"/>
    <w:rsid w:val="118F4329"/>
    <w:rsid w:val="119F6D5C"/>
    <w:rsid w:val="11A0225A"/>
    <w:rsid w:val="11A922D8"/>
    <w:rsid w:val="11D45AE1"/>
    <w:rsid w:val="11E71E1C"/>
    <w:rsid w:val="11EA2125"/>
    <w:rsid w:val="11FA34C3"/>
    <w:rsid w:val="12023099"/>
    <w:rsid w:val="12286880"/>
    <w:rsid w:val="12373AAE"/>
    <w:rsid w:val="123D7233"/>
    <w:rsid w:val="124D011C"/>
    <w:rsid w:val="125B107A"/>
    <w:rsid w:val="12753E07"/>
    <w:rsid w:val="127B28B7"/>
    <w:rsid w:val="129245E5"/>
    <w:rsid w:val="12941849"/>
    <w:rsid w:val="12B5625B"/>
    <w:rsid w:val="12C10D7D"/>
    <w:rsid w:val="12CE1204"/>
    <w:rsid w:val="12F06EE1"/>
    <w:rsid w:val="12F32533"/>
    <w:rsid w:val="12F34854"/>
    <w:rsid w:val="130F7B0F"/>
    <w:rsid w:val="13153AEF"/>
    <w:rsid w:val="134F7B0B"/>
    <w:rsid w:val="13683A5C"/>
    <w:rsid w:val="137C5217"/>
    <w:rsid w:val="13917553"/>
    <w:rsid w:val="13B07F3E"/>
    <w:rsid w:val="13B26405"/>
    <w:rsid w:val="13BF5ED3"/>
    <w:rsid w:val="13FD1C15"/>
    <w:rsid w:val="14083C98"/>
    <w:rsid w:val="140876D8"/>
    <w:rsid w:val="141845E0"/>
    <w:rsid w:val="141C18EA"/>
    <w:rsid w:val="141F1808"/>
    <w:rsid w:val="142E08FB"/>
    <w:rsid w:val="142F47CB"/>
    <w:rsid w:val="142F7B6B"/>
    <w:rsid w:val="1441758D"/>
    <w:rsid w:val="145B1FDF"/>
    <w:rsid w:val="145E7A95"/>
    <w:rsid w:val="146575A3"/>
    <w:rsid w:val="148B15E0"/>
    <w:rsid w:val="14990109"/>
    <w:rsid w:val="14D20D9B"/>
    <w:rsid w:val="15006FBE"/>
    <w:rsid w:val="151F6B5A"/>
    <w:rsid w:val="15212130"/>
    <w:rsid w:val="155E1C9F"/>
    <w:rsid w:val="156542CB"/>
    <w:rsid w:val="158014E9"/>
    <w:rsid w:val="158A5B50"/>
    <w:rsid w:val="159F23B3"/>
    <w:rsid w:val="15A2498C"/>
    <w:rsid w:val="15B66B91"/>
    <w:rsid w:val="15C3420A"/>
    <w:rsid w:val="15CA4090"/>
    <w:rsid w:val="15E47F68"/>
    <w:rsid w:val="15FF6EEC"/>
    <w:rsid w:val="16041E01"/>
    <w:rsid w:val="16232CF9"/>
    <w:rsid w:val="16262029"/>
    <w:rsid w:val="16397749"/>
    <w:rsid w:val="16406CEA"/>
    <w:rsid w:val="16562259"/>
    <w:rsid w:val="165B3324"/>
    <w:rsid w:val="166A5E71"/>
    <w:rsid w:val="16764951"/>
    <w:rsid w:val="167A273E"/>
    <w:rsid w:val="16A61F0D"/>
    <w:rsid w:val="16AC5F02"/>
    <w:rsid w:val="16B27F4D"/>
    <w:rsid w:val="16BD691F"/>
    <w:rsid w:val="16C77FE5"/>
    <w:rsid w:val="16F47E57"/>
    <w:rsid w:val="16F53AB0"/>
    <w:rsid w:val="17091CDA"/>
    <w:rsid w:val="17220FF1"/>
    <w:rsid w:val="17320F2E"/>
    <w:rsid w:val="17613E3F"/>
    <w:rsid w:val="17664D13"/>
    <w:rsid w:val="1766777C"/>
    <w:rsid w:val="17676E2A"/>
    <w:rsid w:val="176D41EE"/>
    <w:rsid w:val="1780422F"/>
    <w:rsid w:val="17957F09"/>
    <w:rsid w:val="179F401B"/>
    <w:rsid w:val="17A75F25"/>
    <w:rsid w:val="17AA5C9C"/>
    <w:rsid w:val="17BD6AB4"/>
    <w:rsid w:val="17C023C9"/>
    <w:rsid w:val="17EF5DD9"/>
    <w:rsid w:val="1818083E"/>
    <w:rsid w:val="184253B9"/>
    <w:rsid w:val="18434C37"/>
    <w:rsid w:val="184E511A"/>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8762F"/>
    <w:rsid w:val="1A6D533B"/>
    <w:rsid w:val="1A712F48"/>
    <w:rsid w:val="1A9D156F"/>
    <w:rsid w:val="1AA80D9B"/>
    <w:rsid w:val="1AA847EC"/>
    <w:rsid w:val="1AAD0BB3"/>
    <w:rsid w:val="1AD01EB8"/>
    <w:rsid w:val="1AD03E52"/>
    <w:rsid w:val="1AD875EC"/>
    <w:rsid w:val="1AE26A3D"/>
    <w:rsid w:val="1AF077FE"/>
    <w:rsid w:val="1AF475AD"/>
    <w:rsid w:val="1AF92EDF"/>
    <w:rsid w:val="1AFD70F0"/>
    <w:rsid w:val="1B0270FF"/>
    <w:rsid w:val="1B181DD9"/>
    <w:rsid w:val="1B251F4D"/>
    <w:rsid w:val="1B2F477F"/>
    <w:rsid w:val="1B4604AB"/>
    <w:rsid w:val="1B68276D"/>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9F1651"/>
    <w:rsid w:val="1CEB46F7"/>
    <w:rsid w:val="1D23735C"/>
    <w:rsid w:val="1D54071F"/>
    <w:rsid w:val="1D6451C6"/>
    <w:rsid w:val="1D654C9F"/>
    <w:rsid w:val="1D69417C"/>
    <w:rsid w:val="1D807289"/>
    <w:rsid w:val="1D8E233B"/>
    <w:rsid w:val="1D9143EC"/>
    <w:rsid w:val="1D975DF7"/>
    <w:rsid w:val="1D9B123D"/>
    <w:rsid w:val="1D9E12E8"/>
    <w:rsid w:val="1DCB4927"/>
    <w:rsid w:val="1DD6405C"/>
    <w:rsid w:val="1DDD3571"/>
    <w:rsid w:val="1DFD4416"/>
    <w:rsid w:val="1E190463"/>
    <w:rsid w:val="1E24668A"/>
    <w:rsid w:val="1E2A27A6"/>
    <w:rsid w:val="1E4422DE"/>
    <w:rsid w:val="1E4B2FD7"/>
    <w:rsid w:val="1E645EBF"/>
    <w:rsid w:val="1E7911C9"/>
    <w:rsid w:val="1E7B335B"/>
    <w:rsid w:val="1E8D194D"/>
    <w:rsid w:val="1EA46A9C"/>
    <w:rsid w:val="1EA50F33"/>
    <w:rsid w:val="1ED503FA"/>
    <w:rsid w:val="1EE724BA"/>
    <w:rsid w:val="1EFF6434"/>
    <w:rsid w:val="1F311F17"/>
    <w:rsid w:val="1F3A0011"/>
    <w:rsid w:val="1F3A5F92"/>
    <w:rsid w:val="1F701095"/>
    <w:rsid w:val="1F775289"/>
    <w:rsid w:val="1F923DE6"/>
    <w:rsid w:val="1FA42D75"/>
    <w:rsid w:val="1FA610B9"/>
    <w:rsid w:val="1FD024AA"/>
    <w:rsid w:val="1FDC54C4"/>
    <w:rsid w:val="1FEE4C5C"/>
    <w:rsid w:val="1FF012A4"/>
    <w:rsid w:val="1FF23EC9"/>
    <w:rsid w:val="20040834"/>
    <w:rsid w:val="20190666"/>
    <w:rsid w:val="202C1885"/>
    <w:rsid w:val="203B574B"/>
    <w:rsid w:val="204A7C68"/>
    <w:rsid w:val="2053493C"/>
    <w:rsid w:val="205C31B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8B380F"/>
    <w:rsid w:val="21957939"/>
    <w:rsid w:val="21C1624C"/>
    <w:rsid w:val="21E26EA0"/>
    <w:rsid w:val="21F34D45"/>
    <w:rsid w:val="21F950CF"/>
    <w:rsid w:val="22045432"/>
    <w:rsid w:val="222A3C9E"/>
    <w:rsid w:val="22396FF8"/>
    <w:rsid w:val="22431035"/>
    <w:rsid w:val="225C0846"/>
    <w:rsid w:val="22B0252A"/>
    <w:rsid w:val="22D75BB2"/>
    <w:rsid w:val="22E819D8"/>
    <w:rsid w:val="22F57E73"/>
    <w:rsid w:val="231523F7"/>
    <w:rsid w:val="234433ED"/>
    <w:rsid w:val="234B605E"/>
    <w:rsid w:val="235133E3"/>
    <w:rsid w:val="23560A29"/>
    <w:rsid w:val="235F59AB"/>
    <w:rsid w:val="236B0C27"/>
    <w:rsid w:val="237544B8"/>
    <w:rsid w:val="238A4219"/>
    <w:rsid w:val="239051E5"/>
    <w:rsid w:val="23924A0F"/>
    <w:rsid w:val="23987B60"/>
    <w:rsid w:val="239D13E8"/>
    <w:rsid w:val="239F6D5D"/>
    <w:rsid w:val="239F7F68"/>
    <w:rsid w:val="23A038E9"/>
    <w:rsid w:val="23ED0F94"/>
    <w:rsid w:val="23FC3011"/>
    <w:rsid w:val="240D18BD"/>
    <w:rsid w:val="24117B72"/>
    <w:rsid w:val="246E404E"/>
    <w:rsid w:val="24710ED7"/>
    <w:rsid w:val="247F538E"/>
    <w:rsid w:val="248114CC"/>
    <w:rsid w:val="24830E8F"/>
    <w:rsid w:val="24A3249E"/>
    <w:rsid w:val="24A62D02"/>
    <w:rsid w:val="24A830D6"/>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D1716B"/>
    <w:rsid w:val="25DF6A97"/>
    <w:rsid w:val="25E6024A"/>
    <w:rsid w:val="25EA0F86"/>
    <w:rsid w:val="26212585"/>
    <w:rsid w:val="26282ED7"/>
    <w:rsid w:val="265B6DE8"/>
    <w:rsid w:val="265F04C1"/>
    <w:rsid w:val="267440C5"/>
    <w:rsid w:val="268C256C"/>
    <w:rsid w:val="269F48BD"/>
    <w:rsid w:val="26A7223A"/>
    <w:rsid w:val="26DD7344"/>
    <w:rsid w:val="26ED7BDF"/>
    <w:rsid w:val="26F23979"/>
    <w:rsid w:val="272A1178"/>
    <w:rsid w:val="272D26C8"/>
    <w:rsid w:val="274604BA"/>
    <w:rsid w:val="27530B85"/>
    <w:rsid w:val="27537ACC"/>
    <w:rsid w:val="276C2A3C"/>
    <w:rsid w:val="27743788"/>
    <w:rsid w:val="277B261F"/>
    <w:rsid w:val="278F6738"/>
    <w:rsid w:val="27962ACA"/>
    <w:rsid w:val="279B5A93"/>
    <w:rsid w:val="27A35CC1"/>
    <w:rsid w:val="27A74409"/>
    <w:rsid w:val="27A977CB"/>
    <w:rsid w:val="27E916BA"/>
    <w:rsid w:val="27F10483"/>
    <w:rsid w:val="27FD55EF"/>
    <w:rsid w:val="28022D32"/>
    <w:rsid w:val="28153567"/>
    <w:rsid w:val="28594A6E"/>
    <w:rsid w:val="286B5520"/>
    <w:rsid w:val="287D3F8A"/>
    <w:rsid w:val="28870747"/>
    <w:rsid w:val="288D4712"/>
    <w:rsid w:val="288E5631"/>
    <w:rsid w:val="28C32DF1"/>
    <w:rsid w:val="28C534E8"/>
    <w:rsid w:val="28D02103"/>
    <w:rsid w:val="29095837"/>
    <w:rsid w:val="29200EC3"/>
    <w:rsid w:val="293734A8"/>
    <w:rsid w:val="294E0AA4"/>
    <w:rsid w:val="296735A6"/>
    <w:rsid w:val="296D7E15"/>
    <w:rsid w:val="29962D19"/>
    <w:rsid w:val="29970E9E"/>
    <w:rsid w:val="29AD3BB2"/>
    <w:rsid w:val="29B4309C"/>
    <w:rsid w:val="29C30BAC"/>
    <w:rsid w:val="29CD7458"/>
    <w:rsid w:val="29D9048F"/>
    <w:rsid w:val="29E51BC2"/>
    <w:rsid w:val="29EF70CC"/>
    <w:rsid w:val="2A0A0002"/>
    <w:rsid w:val="2A1C62F4"/>
    <w:rsid w:val="2A5F0A9A"/>
    <w:rsid w:val="2A802A87"/>
    <w:rsid w:val="2A931BB9"/>
    <w:rsid w:val="2A9D346A"/>
    <w:rsid w:val="2AB51A38"/>
    <w:rsid w:val="2AB903D8"/>
    <w:rsid w:val="2ACD6CCC"/>
    <w:rsid w:val="2ADF720A"/>
    <w:rsid w:val="2AEE4512"/>
    <w:rsid w:val="2AFC30F1"/>
    <w:rsid w:val="2B13327A"/>
    <w:rsid w:val="2B341240"/>
    <w:rsid w:val="2B34584A"/>
    <w:rsid w:val="2B4563D1"/>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45230"/>
    <w:rsid w:val="2C68059F"/>
    <w:rsid w:val="2C6917E7"/>
    <w:rsid w:val="2C756800"/>
    <w:rsid w:val="2CA3554E"/>
    <w:rsid w:val="2CB0401B"/>
    <w:rsid w:val="2CBC0FFA"/>
    <w:rsid w:val="2CC23437"/>
    <w:rsid w:val="2CC27AB8"/>
    <w:rsid w:val="2CC379B0"/>
    <w:rsid w:val="2CEF3C54"/>
    <w:rsid w:val="2CF04337"/>
    <w:rsid w:val="2CF23870"/>
    <w:rsid w:val="2D006219"/>
    <w:rsid w:val="2D05566F"/>
    <w:rsid w:val="2D11170D"/>
    <w:rsid w:val="2D13298D"/>
    <w:rsid w:val="2D221D5D"/>
    <w:rsid w:val="2D2A0414"/>
    <w:rsid w:val="2D383726"/>
    <w:rsid w:val="2D386439"/>
    <w:rsid w:val="2D796490"/>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6A7B7E"/>
    <w:rsid w:val="2E852BFA"/>
    <w:rsid w:val="2EB72D84"/>
    <w:rsid w:val="2ED81477"/>
    <w:rsid w:val="2EE359E2"/>
    <w:rsid w:val="2EEC1574"/>
    <w:rsid w:val="2F1B43C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0476E"/>
    <w:rsid w:val="30B36B23"/>
    <w:rsid w:val="30CC5260"/>
    <w:rsid w:val="30CD10F6"/>
    <w:rsid w:val="30D14AFA"/>
    <w:rsid w:val="30E14993"/>
    <w:rsid w:val="30E206FC"/>
    <w:rsid w:val="30EF21BA"/>
    <w:rsid w:val="30EF472A"/>
    <w:rsid w:val="30FA5F5C"/>
    <w:rsid w:val="30FB65D1"/>
    <w:rsid w:val="30FC5A3F"/>
    <w:rsid w:val="31052214"/>
    <w:rsid w:val="3136571E"/>
    <w:rsid w:val="313969FB"/>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CA7FC0"/>
    <w:rsid w:val="32DF4B9C"/>
    <w:rsid w:val="32EE5E66"/>
    <w:rsid w:val="32F707FF"/>
    <w:rsid w:val="32FE7982"/>
    <w:rsid w:val="330D52B8"/>
    <w:rsid w:val="331E1C54"/>
    <w:rsid w:val="334F6D3D"/>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921598"/>
    <w:rsid w:val="349A1C0D"/>
    <w:rsid w:val="34A75868"/>
    <w:rsid w:val="34A83FD4"/>
    <w:rsid w:val="34C804C4"/>
    <w:rsid w:val="34E261D0"/>
    <w:rsid w:val="34E3740B"/>
    <w:rsid w:val="350D2053"/>
    <w:rsid w:val="350D51A0"/>
    <w:rsid w:val="35286BF7"/>
    <w:rsid w:val="35522321"/>
    <w:rsid w:val="355D53D4"/>
    <w:rsid w:val="357353BD"/>
    <w:rsid w:val="35753453"/>
    <w:rsid w:val="3599429E"/>
    <w:rsid w:val="35A73257"/>
    <w:rsid w:val="35B12F84"/>
    <w:rsid w:val="35B57875"/>
    <w:rsid w:val="35E57F90"/>
    <w:rsid w:val="36033A12"/>
    <w:rsid w:val="362F0086"/>
    <w:rsid w:val="363D403E"/>
    <w:rsid w:val="366D3CBC"/>
    <w:rsid w:val="36750E50"/>
    <w:rsid w:val="36776EAA"/>
    <w:rsid w:val="367C01BA"/>
    <w:rsid w:val="36B77EB7"/>
    <w:rsid w:val="36DE7BD3"/>
    <w:rsid w:val="36F9234D"/>
    <w:rsid w:val="37592FE4"/>
    <w:rsid w:val="375E20CF"/>
    <w:rsid w:val="377336AC"/>
    <w:rsid w:val="377F502A"/>
    <w:rsid w:val="37804449"/>
    <w:rsid w:val="378A028C"/>
    <w:rsid w:val="37BC42C1"/>
    <w:rsid w:val="37C51AE9"/>
    <w:rsid w:val="37CA1388"/>
    <w:rsid w:val="37CC6ED3"/>
    <w:rsid w:val="37D6640B"/>
    <w:rsid w:val="37F94643"/>
    <w:rsid w:val="37FB24F6"/>
    <w:rsid w:val="3806724C"/>
    <w:rsid w:val="38292EF5"/>
    <w:rsid w:val="38305180"/>
    <w:rsid w:val="383B2625"/>
    <w:rsid w:val="3850158A"/>
    <w:rsid w:val="385C1B7F"/>
    <w:rsid w:val="38610D05"/>
    <w:rsid w:val="387A6E02"/>
    <w:rsid w:val="388F49F5"/>
    <w:rsid w:val="389239F0"/>
    <w:rsid w:val="38AB3C78"/>
    <w:rsid w:val="38BD6057"/>
    <w:rsid w:val="38FA192C"/>
    <w:rsid w:val="38FB4BD9"/>
    <w:rsid w:val="39076C11"/>
    <w:rsid w:val="391F2580"/>
    <w:rsid w:val="39221703"/>
    <w:rsid w:val="39283EEC"/>
    <w:rsid w:val="392C6103"/>
    <w:rsid w:val="392D67AC"/>
    <w:rsid w:val="3930488C"/>
    <w:rsid w:val="39401394"/>
    <w:rsid w:val="394D0F3D"/>
    <w:rsid w:val="3968060E"/>
    <w:rsid w:val="398473E8"/>
    <w:rsid w:val="39A644DA"/>
    <w:rsid w:val="39B261A8"/>
    <w:rsid w:val="39C531C8"/>
    <w:rsid w:val="39E23259"/>
    <w:rsid w:val="39EA289E"/>
    <w:rsid w:val="3A0B2C87"/>
    <w:rsid w:val="3A0E4E62"/>
    <w:rsid w:val="3A0F0F43"/>
    <w:rsid w:val="3A2140D2"/>
    <w:rsid w:val="3A380799"/>
    <w:rsid w:val="3A476B5E"/>
    <w:rsid w:val="3A4B0E8F"/>
    <w:rsid w:val="3A555FAD"/>
    <w:rsid w:val="3A711825"/>
    <w:rsid w:val="3A7B1CBC"/>
    <w:rsid w:val="3A931991"/>
    <w:rsid w:val="3AA82CF8"/>
    <w:rsid w:val="3AAC5B36"/>
    <w:rsid w:val="3AD06974"/>
    <w:rsid w:val="3ADA42A0"/>
    <w:rsid w:val="3AED2DDA"/>
    <w:rsid w:val="3AF1226A"/>
    <w:rsid w:val="3AF21E9B"/>
    <w:rsid w:val="3B084B8F"/>
    <w:rsid w:val="3B0A7A50"/>
    <w:rsid w:val="3B105BA8"/>
    <w:rsid w:val="3B2414E4"/>
    <w:rsid w:val="3B277374"/>
    <w:rsid w:val="3B344321"/>
    <w:rsid w:val="3B3500CB"/>
    <w:rsid w:val="3B4F35F9"/>
    <w:rsid w:val="3B50783E"/>
    <w:rsid w:val="3B5905F5"/>
    <w:rsid w:val="3B6A281B"/>
    <w:rsid w:val="3B896874"/>
    <w:rsid w:val="3B9D4373"/>
    <w:rsid w:val="3BA92EC6"/>
    <w:rsid w:val="3BB663C6"/>
    <w:rsid w:val="3BB94D10"/>
    <w:rsid w:val="3BDE416C"/>
    <w:rsid w:val="3BE70BEC"/>
    <w:rsid w:val="3BEF2D1E"/>
    <w:rsid w:val="3C0435A9"/>
    <w:rsid w:val="3C3158BF"/>
    <w:rsid w:val="3C512C6A"/>
    <w:rsid w:val="3C5C1695"/>
    <w:rsid w:val="3C5E6096"/>
    <w:rsid w:val="3C6B63F3"/>
    <w:rsid w:val="3C6D0AA3"/>
    <w:rsid w:val="3C7D446D"/>
    <w:rsid w:val="3C8805E4"/>
    <w:rsid w:val="3C903856"/>
    <w:rsid w:val="3CAC07B2"/>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DE22934"/>
    <w:rsid w:val="3DF15BE8"/>
    <w:rsid w:val="3E00648E"/>
    <w:rsid w:val="3E097ED6"/>
    <w:rsid w:val="3E0F619F"/>
    <w:rsid w:val="3E2C07D2"/>
    <w:rsid w:val="3E485474"/>
    <w:rsid w:val="3E4B1EC4"/>
    <w:rsid w:val="3E4C5C7B"/>
    <w:rsid w:val="3E4D22D0"/>
    <w:rsid w:val="3E4F06BE"/>
    <w:rsid w:val="3E60232E"/>
    <w:rsid w:val="3E6966CC"/>
    <w:rsid w:val="3E6F6349"/>
    <w:rsid w:val="3E7001DF"/>
    <w:rsid w:val="3E815E9D"/>
    <w:rsid w:val="3E8F04CD"/>
    <w:rsid w:val="3EA37326"/>
    <w:rsid w:val="3EA4334C"/>
    <w:rsid w:val="3EC21710"/>
    <w:rsid w:val="3ED07B39"/>
    <w:rsid w:val="3EEE4BA8"/>
    <w:rsid w:val="3F1E600A"/>
    <w:rsid w:val="3F227ECC"/>
    <w:rsid w:val="3F2A1510"/>
    <w:rsid w:val="3F323523"/>
    <w:rsid w:val="3F59407A"/>
    <w:rsid w:val="3F963935"/>
    <w:rsid w:val="3FBD7ADB"/>
    <w:rsid w:val="3FED10C4"/>
    <w:rsid w:val="3FFD69BE"/>
    <w:rsid w:val="40115E5D"/>
    <w:rsid w:val="40142B28"/>
    <w:rsid w:val="402551CC"/>
    <w:rsid w:val="404C0EDB"/>
    <w:rsid w:val="404C3E13"/>
    <w:rsid w:val="405A7340"/>
    <w:rsid w:val="406563D6"/>
    <w:rsid w:val="406B7B27"/>
    <w:rsid w:val="40A1164F"/>
    <w:rsid w:val="40AD7C5B"/>
    <w:rsid w:val="40CD5F0B"/>
    <w:rsid w:val="40D76165"/>
    <w:rsid w:val="40DD4729"/>
    <w:rsid w:val="40EB7E0B"/>
    <w:rsid w:val="40F1349D"/>
    <w:rsid w:val="40F31392"/>
    <w:rsid w:val="411E2BE4"/>
    <w:rsid w:val="413A144A"/>
    <w:rsid w:val="413B55F6"/>
    <w:rsid w:val="41694287"/>
    <w:rsid w:val="416948A9"/>
    <w:rsid w:val="416B194D"/>
    <w:rsid w:val="41BE3E52"/>
    <w:rsid w:val="41C36A02"/>
    <w:rsid w:val="41D8445C"/>
    <w:rsid w:val="41F85D27"/>
    <w:rsid w:val="420E2A1A"/>
    <w:rsid w:val="421E5E19"/>
    <w:rsid w:val="4237497C"/>
    <w:rsid w:val="424D68DB"/>
    <w:rsid w:val="42565FD0"/>
    <w:rsid w:val="42596CCD"/>
    <w:rsid w:val="425E5FDE"/>
    <w:rsid w:val="427A361C"/>
    <w:rsid w:val="427F350F"/>
    <w:rsid w:val="42914340"/>
    <w:rsid w:val="42AF1A12"/>
    <w:rsid w:val="42B008AC"/>
    <w:rsid w:val="42F75898"/>
    <w:rsid w:val="43127FA0"/>
    <w:rsid w:val="431B4901"/>
    <w:rsid w:val="431D66E9"/>
    <w:rsid w:val="4357457D"/>
    <w:rsid w:val="43587C29"/>
    <w:rsid w:val="435C6176"/>
    <w:rsid w:val="43616901"/>
    <w:rsid w:val="43667A8A"/>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7D2D74"/>
    <w:rsid w:val="44843CC9"/>
    <w:rsid w:val="44880967"/>
    <w:rsid w:val="44B673AA"/>
    <w:rsid w:val="44BE5B35"/>
    <w:rsid w:val="44D26E80"/>
    <w:rsid w:val="44DB773A"/>
    <w:rsid w:val="44F14784"/>
    <w:rsid w:val="450039C1"/>
    <w:rsid w:val="451A32B1"/>
    <w:rsid w:val="451E341B"/>
    <w:rsid w:val="452074A3"/>
    <w:rsid w:val="452D6C34"/>
    <w:rsid w:val="454D00BA"/>
    <w:rsid w:val="456951DA"/>
    <w:rsid w:val="457C1659"/>
    <w:rsid w:val="45973AD6"/>
    <w:rsid w:val="45A03175"/>
    <w:rsid w:val="45A52B1C"/>
    <w:rsid w:val="45AC4CF4"/>
    <w:rsid w:val="45AD524F"/>
    <w:rsid w:val="45AE36B8"/>
    <w:rsid w:val="45CF7FBC"/>
    <w:rsid w:val="45F35C5E"/>
    <w:rsid w:val="462E7F56"/>
    <w:rsid w:val="46400CA9"/>
    <w:rsid w:val="46406C53"/>
    <w:rsid w:val="465A4FCD"/>
    <w:rsid w:val="465B230D"/>
    <w:rsid w:val="4662285A"/>
    <w:rsid w:val="467208A3"/>
    <w:rsid w:val="467C0D02"/>
    <w:rsid w:val="46810023"/>
    <w:rsid w:val="468354F8"/>
    <w:rsid w:val="46836109"/>
    <w:rsid w:val="468B0189"/>
    <w:rsid w:val="46995FD1"/>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7F761D"/>
    <w:rsid w:val="4891605D"/>
    <w:rsid w:val="48D173C6"/>
    <w:rsid w:val="48E02F78"/>
    <w:rsid w:val="48E76F84"/>
    <w:rsid w:val="48F00546"/>
    <w:rsid w:val="4906501C"/>
    <w:rsid w:val="49132398"/>
    <w:rsid w:val="491A5C09"/>
    <w:rsid w:val="491B5B23"/>
    <w:rsid w:val="493B491E"/>
    <w:rsid w:val="494305AE"/>
    <w:rsid w:val="49550F29"/>
    <w:rsid w:val="498E5DDA"/>
    <w:rsid w:val="499A319C"/>
    <w:rsid w:val="49A75100"/>
    <w:rsid w:val="49B6483C"/>
    <w:rsid w:val="49B66680"/>
    <w:rsid w:val="49C75CA3"/>
    <w:rsid w:val="49D145CB"/>
    <w:rsid w:val="49E56673"/>
    <w:rsid w:val="49FC1D63"/>
    <w:rsid w:val="4A0F6E1A"/>
    <w:rsid w:val="4A125A83"/>
    <w:rsid w:val="4A171DB0"/>
    <w:rsid w:val="4A2057D8"/>
    <w:rsid w:val="4A284B3F"/>
    <w:rsid w:val="4A5A35C4"/>
    <w:rsid w:val="4A6F2547"/>
    <w:rsid w:val="4A861680"/>
    <w:rsid w:val="4A8764D3"/>
    <w:rsid w:val="4A980B3E"/>
    <w:rsid w:val="4AA14A65"/>
    <w:rsid w:val="4AC77F8B"/>
    <w:rsid w:val="4AD74EF4"/>
    <w:rsid w:val="4AED5C11"/>
    <w:rsid w:val="4AFF253A"/>
    <w:rsid w:val="4B096721"/>
    <w:rsid w:val="4B151DD8"/>
    <w:rsid w:val="4B2F5A69"/>
    <w:rsid w:val="4B403006"/>
    <w:rsid w:val="4B600DBB"/>
    <w:rsid w:val="4B740186"/>
    <w:rsid w:val="4B7467CA"/>
    <w:rsid w:val="4B7A2CD7"/>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6D4BD3"/>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56253"/>
    <w:rsid w:val="4D7901E4"/>
    <w:rsid w:val="4D805757"/>
    <w:rsid w:val="4DCB0227"/>
    <w:rsid w:val="4DCF155E"/>
    <w:rsid w:val="4DD11AEE"/>
    <w:rsid w:val="4DE22B61"/>
    <w:rsid w:val="4E071018"/>
    <w:rsid w:val="4E1E35A8"/>
    <w:rsid w:val="4E4A36DE"/>
    <w:rsid w:val="4E4B1237"/>
    <w:rsid w:val="4E685D9D"/>
    <w:rsid w:val="4E7543E2"/>
    <w:rsid w:val="4E997F39"/>
    <w:rsid w:val="4EA45038"/>
    <w:rsid w:val="4EA535EA"/>
    <w:rsid w:val="4EAA452F"/>
    <w:rsid w:val="4EAB7555"/>
    <w:rsid w:val="4EB16F4D"/>
    <w:rsid w:val="4EBA5082"/>
    <w:rsid w:val="4ED37A9C"/>
    <w:rsid w:val="4EDE0A69"/>
    <w:rsid w:val="4EF438A7"/>
    <w:rsid w:val="4EF74679"/>
    <w:rsid w:val="4F053AD4"/>
    <w:rsid w:val="4F4F7C97"/>
    <w:rsid w:val="4F586DFE"/>
    <w:rsid w:val="4F7F3425"/>
    <w:rsid w:val="4F890EBD"/>
    <w:rsid w:val="4F951D60"/>
    <w:rsid w:val="4FAB27E4"/>
    <w:rsid w:val="4FAD4336"/>
    <w:rsid w:val="4FEA66FB"/>
    <w:rsid w:val="4FFD291D"/>
    <w:rsid w:val="50000326"/>
    <w:rsid w:val="5012456C"/>
    <w:rsid w:val="501B0160"/>
    <w:rsid w:val="5028413A"/>
    <w:rsid w:val="502E0E02"/>
    <w:rsid w:val="5034185C"/>
    <w:rsid w:val="50662285"/>
    <w:rsid w:val="50935D58"/>
    <w:rsid w:val="509473B7"/>
    <w:rsid w:val="50C85002"/>
    <w:rsid w:val="50D25B2F"/>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11EE5"/>
    <w:rsid w:val="52BE0F28"/>
    <w:rsid w:val="52D32108"/>
    <w:rsid w:val="52D6356D"/>
    <w:rsid w:val="52F77D67"/>
    <w:rsid w:val="52F836E3"/>
    <w:rsid w:val="532F7394"/>
    <w:rsid w:val="53385FAE"/>
    <w:rsid w:val="534E489F"/>
    <w:rsid w:val="53667317"/>
    <w:rsid w:val="536E730E"/>
    <w:rsid w:val="537C2BD7"/>
    <w:rsid w:val="53971E29"/>
    <w:rsid w:val="539D713D"/>
    <w:rsid w:val="53A35F99"/>
    <w:rsid w:val="53E46B03"/>
    <w:rsid w:val="53E6334F"/>
    <w:rsid w:val="53FB17FA"/>
    <w:rsid w:val="541862F0"/>
    <w:rsid w:val="543D59C1"/>
    <w:rsid w:val="546A6559"/>
    <w:rsid w:val="546F0B91"/>
    <w:rsid w:val="54B70A61"/>
    <w:rsid w:val="54B779B5"/>
    <w:rsid w:val="54D25371"/>
    <w:rsid w:val="54EA3421"/>
    <w:rsid w:val="54EC1FC6"/>
    <w:rsid w:val="54EC416F"/>
    <w:rsid w:val="550939D7"/>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D15CA"/>
    <w:rsid w:val="55C10548"/>
    <w:rsid w:val="55C244BC"/>
    <w:rsid w:val="55C708F6"/>
    <w:rsid w:val="55E14A9E"/>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BB5794"/>
    <w:rsid w:val="56C16A07"/>
    <w:rsid w:val="56C56026"/>
    <w:rsid w:val="56C721C1"/>
    <w:rsid w:val="56C75E65"/>
    <w:rsid w:val="56ED49AC"/>
    <w:rsid w:val="57037964"/>
    <w:rsid w:val="570D1D86"/>
    <w:rsid w:val="570E1422"/>
    <w:rsid w:val="571C5DFA"/>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7FB7210"/>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F609E4"/>
    <w:rsid w:val="58FB67BC"/>
    <w:rsid w:val="590C30E2"/>
    <w:rsid w:val="592452D1"/>
    <w:rsid w:val="5930657D"/>
    <w:rsid w:val="59327DEB"/>
    <w:rsid w:val="59392E42"/>
    <w:rsid w:val="593B5B55"/>
    <w:rsid w:val="593D19BE"/>
    <w:rsid w:val="597D137C"/>
    <w:rsid w:val="599D01FE"/>
    <w:rsid w:val="59AF4353"/>
    <w:rsid w:val="59CB134C"/>
    <w:rsid w:val="59D13042"/>
    <w:rsid w:val="59EA652F"/>
    <w:rsid w:val="5A3F6176"/>
    <w:rsid w:val="5A5419CE"/>
    <w:rsid w:val="5A587AE0"/>
    <w:rsid w:val="5A5A38F1"/>
    <w:rsid w:val="5A617BFA"/>
    <w:rsid w:val="5A7629B7"/>
    <w:rsid w:val="5A83298E"/>
    <w:rsid w:val="5A84337E"/>
    <w:rsid w:val="5A891BB6"/>
    <w:rsid w:val="5A8D03AD"/>
    <w:rsid w:val="5AA34E07"/>
    <w:rsid w:val="5AD937F3"/>
    <w:rsid w:val="5ADB5FCA"/>
    <w:rsid w:val="5AE30663"/>
    <w:rsid w:val="5AE36AFC"/>
    <w:rsid w:val="5AE47198"/>
    <w:rsid w:val="5AEF3CA7"/>
    <w:rsid w:val="5AFB0199"/>
    <w:rsid w:val="5B0001EA"/>
    <w:rsid w:val="5B2B23CC"/>
    <w:rsid w:val="5B2D4307"/>
    <w:rsid w:val="5B5041D6"/>
    <w:rsid w:val="5B554FD4"/>
    <w:rsid w:val="5B6B25D0"/>
    <w:rsid w:val="5B6B4549"/>
    <w:rsid w:val="5BAD031C"/>
    <w:rsid w:val="5BB36D0A"/>
    <w:rsid w:val="5BD03C5A"/>
    <w:rsid w:val="5BD33975"/>
    <w:rsid w:val="5BDA775F"/>
    <w:rsid w:val="5BEA7806"/>
    <w:rsid w:val="5BED1355"/>
    <w:rsid w:val="5C03117C"/>
    <w:rsid w:val="5C035D5C"/>
    <w:rsid w:val="5C054372"/>
    <w:rsid w:val="5C0B1081"/>
    <w:rsid w:val="5C2E76F3"/>
    <w:rsid w:val="5C531DAC"/>
    <w:rsid w:val="5C5F19A2"/>
    <w:rsid w:val="5C6742FC"/>
    <w:rsid w:val="5C7870C9"/>
    <w:rsid w:val="5C793AF2"/>
    <w:rsid w:val="5C885120"/>
    <w:rsid w:val="5C8D094F"/>
    <w:rsid w:val="5CAA3CDC"/>
    <w:rsid w:val="5CC14996"/>
    <w:rsid w:val="5CCB521B"/>
    <w:rsid w:val="5CD10037"/>
    <w:rsid w:val="5CDB13F1"/>
    <w:rsid w:val="5CE42BFC"/>
    <w:rsid w:val="5D067562"/>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54310"/>
    <w:rsid w:val="5F1A1471"/>
    <w:rsid w:val="5F1B570F"/>
    <w:rsid w:val="5F4013BA"/>
    <w:rsid w:val="5F515252"/>
    <w:rsid w:val="5F882D2B"/>
    <w:rsid w:val="5FD025CB"/>
    <w:rsid w:val="5FD41E39"/>
    <w:rsid w:val="5FD57769"/>
    <w:rsid w:val="5FDC496F"/>
    <w:rsid w:val="5FDE38C7"/>
    <w:rsid w:val="5FEA0E05"/>
    <w:rsid w:val="5FEA1BFF"/>
    <w:rsid w:val="5FFA2F3B"/>
    <w:rsid w:val="60053545"/>
    <w:rsid w:val="60070501"/>
    <w:rsid w:val="600D47EB"/>
    <w:rsid w:val="601C0973"/>
    <w:rsid w:val="60240F4A"/>
    <w:rsid w:val="602A2F0C"/>
    <w:rsid w:val="602F3018"/>
    <w:rsid w:val="605E48C7"/>
    <w:rsid w:val="606942EB"/>
    <w:rsid w:val="606A7181"/>
    <w:rsid w:val="608D0DC2"/>
    <w:rsid w:val="60CF4513"/>
    <w:rsid w:val="60D87E5D"/>
    <w:rsid w:val="60F668B8"/>
    <w:rsid w:val="60FC46B7"/>
    <w:rsid w:val="61002168"/>
    <w:rsid w:val="611565D4"/>
    <w:rsid w:val="61172DD5"/>
    <w:rsid w:val="6138206E"/>
    <w:rsid w:val="616270EF"/>
    <w:rsid w:val="61706EDF"/>
    <w:rsid w:val="61770AB3"/>
    <w:rsid w:val="619B1498"/>
    <w:rsid w:val="619B3BCB"/>
    <w:rsid w:val="61C5760F"/>
    <w:rsid w:val="61CB09F2"/>
    <w:rsid w:val="61F34165"/>
    <w:rsid w:val="62053AEE"/>
    <w:rsid w:val="62426D4A"/>
    <w:rsid w:val="62842199"/>
    <w:rsid w:val="62904A5E"/>
    <w:rsid w:val="62B6346C"/>
    <w:rsid w:val="62C4291E"/>
    <w:rsid w:val="62C65CEC"/>
    <w:rsid w:val="62F27D6D"/>
    <w:rsid w:val="62FA271D"/>
    <w:rsid w:val="631814C9"/>
    <w:rsid w:val="632F7DE7"/>
    <w:rsid w:val="6347606A"/>
    <w:rsid w:val="635B012E"/>
    <w:rsid w:val="635E620F"/>
    <w:rsid w:val="6368049F"/>
    <w:rsid w:val="636A3EC3"/>
    <w:rsid w:val="636A6F4B"/>
    <w:rsid w:val="63793000"/>
    <w:rsid w:val="637949DA"/>
    <w:rsid w:val="63A94A31"/>
    <w:rsid w:val="63AC1EAC"/>
    <w:rsid w:val="63C90B49"/>
    <w:rsid w:val="63C910E5"/>
    <w:rsid w:val="63CC75B9"/>
    <w:rsid w:val="63E30C41"/>
    <w:rsid w:val="63FE1629"/>
    <w:rsid w:val="640673D9"/>
    <w:rsid w:val="641E6EE2"/>
    <w:rsid w:val="64275148"/>
    <w:rsid w:val="64326B19"/>
    <w:rsid w:val="645214CF"/>
    <w:rsid w:val="6487530B"/>
    <w:rsid w:val="649A7D9E"/>
    <w:rsid w:val="64BA39D7"/>
    <w:rsid w:val="64CF3CAA"/>
    <w:rsid w:val="64D96235"/>
    <w:rsid w:val="64DA01CC"/>
    <w:rsid w:val="650F5FAC"/>
    <w:rsid w:val="65185303"/>
    <w:rsid w:val="652D2807"/>
    <w:rsid w:val="65316185"/>
    <w:rsid w:val="6534392E"/>
    <w:rsid w:val="654F6FF9"/>
    <w:rsid w:val="65510CB7"/>
    <w:rsid w:val="656033A2"/>
    <w:rsid w:val="656A5B61"/>
    <w:rsid w:val="65815AA0"/>
    <w:rsid w:val="658855D4"/>
    <w:rsid w:val="658867B3"/>
    <w:rsid w:val="659B42A0"/>
    <w:rsid w:val="65A8095A"/>
    <w:rsid w:val="65F1238A"/>
    <w:rsid w:val="65F35604"/>
    <w:rsid w:val="65FF3198"/>
    <w:rsid w:val="663B062F"/>
    <w:rsid w:val="663D14D0"/>
    <w:rsid w:val="663E4EF3"/>
    <w:rsid w:val="6641355B"/>
    <w:rsid w:val="66471F83"/>
    <w:rsid w:val="665A01D2"/>
    <w:rsid w:val="6688533A"/>
    <w:rsid w:val="669C65CD"/>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60086"/>
    <w:rsid w:val="68A9751A"/>
    <w:rsid w:val="68AC366C"/>
    <w:rsid w:val="68B329E9"/>
    <w:rsid w:val="69030906"/>
    <w:rsid w:val="692C4F44"/>
    <w:rsid w:val="69326C25"/>
    <w:rsid w:val="697D4944"/>
    <w:rsid w:val="697E2DEE"/>
    <w:rsid w:val="699B3DF9"/>
    <w:rsid w:val="69C503F0"/>
    <w:rsid w:val="69E1523E"/>
    <w:rsid w:val="6A377133"/>
    <w:rsid w:val="6A3802AF"/>
    <w:rsid w:val="6A382142"/>
    <w:rsid w:val="6A4E7EC9"/>
    <w:rsid w:val="6A650E8F"/>
    <w:rsid w:val="6A735CFE"/>
    <w:rsid w:val="6A7F0672"/>
    <w:rsid w:val="6A8243F3"/>
    <w:rsid w:val="6AA25847"/>
    <w:rsid w:val="6AAE50B7"/>
    <w:rsid w:val="6AB32F8A"/>
    <w:rsid w:val="6ADE4B51"/>
    <w:rsid w:val="6AEB550E"/>
    <w:rsid w:val="6AF47AD0"/>
    <w:rsid w:val="6B0B7792"/>
    <w:rsid w:val="6B18387B"/>
    <w:rsid w:val="6B213C7A"/>
    <w:rsid w:val="6B2726B5"/>
    <w:rsid w:val="6B2D19C3"/>
    <w:rsid w:val="6B3D4519"/>
    <w:rsid w:val="6B4943C4"/>
    <w:rsid w:val="6B5760AD"/>
    <w:rsid w:val="6B6356A7"/>
    <w:rsid w:val="6B6712DB"/>
    <w:rsid w:val="6B6F75D9"/>
    <w:rsid w:val="6B7753BB"/>
    <w:rsid w:val="6B7A6C48"/>
    <w:rsid w:val="6B8223B8"/>
    <w:rsid w:val="6BA303EE"/>
    <w:rsid w:val="6BCA3451"/>
    <w:rsid w:val="6BD57A1A"/>
    <w:rsid w:val="6BD8646F"/>
    <w:rsid w:val="6BE52340"/>
    <w:rsid w:val="6BEA317F"/>
    <w:rsid w:val="6C077B7C"/>
    <w:rsid w:val="6C315359"/>
    <w:rsid w:val="6C89469E"/>
    <w:rsid w:val="6C93673A"/>
    <w:rsid w:val="6C9559EA"/>
    <w:rsid w:val="6C991B9A"/>
    <w:rsid w:val="6CA9616E"/>
    <w:rsid w:val="6CB32A52"/>
    <w:rsid w:val="6CBB305B"/>
    <w:rsid w:val="6CC206BF"/>
    <w:rsid w:val="6CC30C66"/>
    <w:rsid w:val="6CDD0CB1"/>
    <w:rsid w:val="6CE419F3"/>
    <w:rsid w:val="6CE93DEC"/>
    <w:rsid w:val="6D225A73"/>
    <w:rsid w:val="6D371F41"/>
    <w:rsid w:val="6D4B705D"/>
    <w:rsid w:val="6D711A3E"/>
    <w:rsid w:val="6D8D0D90"/>
    <w:rsid w:val="6D96046C"/>
    <w:rsid w:val="6DC91D5B"/>
    <w:rsid w:val="6DD50561"/>
    <w:rsid w:val="6DD95830"/>
    <w:rsid w:val="6DF021A3"/>
    <w:rsid w:val="6E124286"/>
    <w:rsid w:val="6E134309"/>
    <w:rsid w:val="6E1A1F69"/>
    <w:rsid w:val="6E3B5323"/>
    <w:rsid w:val="6E4F38F8"/>
    <w:rsid w:val="6E657BB2"/>
    <w:rsid w:val="6E6E43B8"/>
    <w:rsid w:val="6E793023"/>
    <w:rsid w:val="6E7F7AFB"/>
    <w:rsid w:val="6EB770BA"/>
    <w:rsid w:val="6EB96505"/>
    <w:rsid w:val="6EC61E12"/>
    <w:rsid w:val="6ED43ACF"/>
    <w:rsid w:val="6EDF1CCE"/>
    <w:rsid w:val="6EE571FE"/>
    <w:rsid w:val="6EE87CC2"/>
    <w:rsid w:val="6EEA71F0"/>
    <w:rsid w:val="6F2B434D"/>
    <w:rsid w:val="6F2C5B46"/>
    <w:rsid w:val="6F2D78EE"/>
    <w:rsid w:val="6F4947DA"/>
    <w:rsid w:val="6F4E71A8"/>
    <w:rsid w:val="6F70301C"/>
    <w:rsid w:val="6F781F55"/>
    <w:rsid w:val="6F7C562E"/>
    <w:rsid w:val="6FB93CAC"/>
    <w:rsid w:val="6FB95193"/>
    <w:rsid w:val="6FE60D34"/>
    <w:rsid w:val="6FEE7F40"/>
    <w:rsid w:val="70015EAC"/>
    <w:rsid w:val="70081662"/>
    <w:rsid w:val="70093C44"/>
    <w:rsid w:val="7013025E"/>
    <w:rsid w:val="70150176"/>
    <w:rsid w:val="706A4129"/>
    <w:rsid w:val="70747A02"/>
    <w:rsid w:val="7076111A"/>
    <w:rsid w:val="70B73E00"/>
    <w:rsid w:val="70B774D1"/>
    <w:rsid w:val="70F2796B"/>
    <w:rsid w:val="710F1765"/>
    <w:rsid w:val="71102404"/>
    <w:rsid w:val="711A1C30"/>
    <w:rsid w:val="711D088F"/>
    <w:rsid w:val="711E6ABB"/>
    <w:rsid w:val="71400456"/>
    <w:rsid w:val="714C2EBE"/>
    <w:rsid w:val="71611C06"/>
    <w:rsid w:val="71636191"/>
    <w:rsid w:val="71686453"/>
    <w:rsid w:val="716F74C0"/>
    <w:rsid w:val="71A976A3"/>
    <w:rsid w:val="71B83D73"/>
    <w:rsid w:val="71C94377"/>
    <w:rsid w:val="71D6274F"/>
    <w:rsid w:val="72033A39"/>
    <w:rsid w:val="7244417E"/>
    <w:rsid w:val="726E4C9E"/>
    <w:rsid w:val="7289516B"/>
    <w:rsid w:val="729310B6"/>
    <w:rsid w:val="72A00B85"/>
    <w:rsid w:val="72A2006A"/>
    <w:rsid w:val="72A71A1A"/>
    <w:rsid w:val="72B64F42"/>
    <w:rsid w:val="72C80096"/>
    <w:rsid w:val="72CD0489"/>
    <w:rsid w:val="72DB349B"/>
    <w:rsid w:val="72E10CF1"/>
    <w:rsid w:val="72E16E78"/>
    <w:rsid w:val="72EA15F7"/>
    <w:rsid w:val="73062CBE"/>
    <w:rsid w:val="73297EB2"/>
    <w:rsid w:val="732B2071"/>
    <w:rsid w:val="732E26DE"/>
    <w:rsid w:val="733A0B3F"/>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631090"/>
    <w:rsid w:val="76703988"/>
    <w:rsid w:val="7672217C"/>
    <w:rsid w:val="76A12DC3"/>
    <w:rsid w:val="76D15B17"/>
    <w:rsid w:val="77186B1E"/>
    <w:rsid w:val="77645C7D"/>
    <w:rsid w:val="77655D90"/>
    <w:rsid w:val="777439C1"/>
    <w:rsid w:val="778B1158"/>
    <w:rsid w:val="77961505"/>
    <w:rsid w:val="77B15DF4"/>
    <w:rsid w:val="77B856B5"/>
    <w:rsid w:val="78076895"/>
    <w:rsid w:val="78091695"/>
    <w:rsid w:val="78151AE7"/>
    <w:rsid w:val="781D0ABF"/>
    <w:rsid w:val="782B5948"/>
    <w:rsid w:val="78602ABF"/>
    <w:rsid w:val="786357CB"/>
    <w:rsid w:val="78665FE4"/>
    <w:rsid w:val="786E0FFE"/>
    <w:rsid w:val="78A93133"/>
    <w:rsid w:val="78C4780A"/>
    <w:rsid w:val="78D02FB6"/>
    <w:rsid w:val="78E43768"/>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303322"/>
    <w:rsid w:val="7A62380B"/>
    <w:rsid w:val="7A7F6A39"/>
    <w:rsid w:val="7A9A2995"/>
    <w:rsid w:val="7A9E37B9"/>
    <w:rsid w:val="7AA85A57"/>
    <w:rsid w:val="7AA97571"/>
    <w:rsid w:val="7AD1328F"/>
    <w:rsid w:val="7AF26D81"/>
    <w:rsid w:val="7AF464E6"/>
    <w:rsid w:val="7AF6549D"/>
    <w:rsid w:val="7B014170"/>
    <w:rsid w:val="7B187563"/>
    <w:rsid w:val="7B1A61F8"/>
    <w:rsid w:val="7B1F3EC7"/>
    <w:rsid w:val="7B5C346C"/>
    <w:rsid w:val="7B5E5C27"/>
    <w:rsid w:val="7B652196"/>
    <w:rsid w:val="7B762D9E"/>
    <w:rsid w:val="7B784952"/>
    <w:rsid w:val="7B7974C6"/>
    <w:rsid w:val="7B7C479D"/>
    <w:rsid w:val="7B7C4B25"/>
    <w:rsid w:val="7B7E15E7"/>
    <w:rsid w:val="7B920A5D"/>
    <w:rsid w:val="7B9A2E42"/>
    <w:rsid w:val="7BA1455F"/>
    <w:rsid w:val="7BCC7A90"/>
    <w:rsid w:val="7BDC1294"/>
    <w:rsid w:val="7BE975D0"/>
    <w:rsid w:val="7BEA7526"/>
    <w:rsid w:val="7BF2190A"/>
    <w:rsid w:val="7C010589"/>
    <w:rsid w:val="7C160D02"/>
    <w:rsid w:val="7C1637C1"/>
    <w:rsid w:val="7C1E537F"/>
    <w:rsid w:val="7C457811"/>
    <w:rsid w:val="7C4706AF"/>
    <w:rsid w:val="7C473009"/>
    <w:rsid w:val="7C526D30"/>
    <w:rsid w:val="7C574088"/>
    <w:rsid w:val="7C5D6386"/>
    <w:rsid w:val="7C921F5C"/>
    <w:rsid w:val="7C9D2374"/>
    <w:rsid w:val="7CAC42FA"/>
    <w:rsid w:val="7CD97C96"/>
    <w:rsid w:val="7CEA2FFC"/>
    <w:rsid w:val="7CF36D0A"/>
    <w:rsid w:val="7CFD68A1"/>
    <w:rsid w:val="7D004B90"/>
    <w:rsid w:val="7D060B62"/>
    <w:rsid w:val="7D09176A"/>
    <w:rsid w:val="7D15262A"/>
    <w:rsid w:val="7D21528B"/>
    <w:rsid w:val="7D295788"/>
    <w:rsid w:val="7D2D69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5163F"/>
    <w:rsid w:val="7E575AC2"/>
    <w:rsid w:val="7E580C80"/>
    <w:rsid w:val="7E68207B"/>
    <w:rsid w:val="7E8B6473"/>
    <w:rsid w:val="7E950FE9"/>
    <w:rsid w:val="7EA454D3"/>
    <w:rsid w:val="7EB4385B"/>
    <w:rsid w:val="7EC009E8"/>
    <w:rsid w:val="7ED16523"/>
    <w:rsid w:val="7EE83A26"/>
    <w:rsid w:val="7EF96B1E"/>
    <w:rsid w:val="7EFA65C6"/>
    <w:rsid w:val="7F353C06"/>
    <w:rsid w:val="7F410352"/>
    <w:rsid w:val="7F440F7A"/>
    <w:rsid w:val="7F510226"/>
    <w:rsid w:val="7F5E5DAF"/>
    <w:rsid w:val="7F633EFB"/>
    <w:rsid w:val="7F634386"/>
    <w:rsid w:val="7FA02E1C"/>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33"/>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35"/>
    <w:qFormat/>
    <w:uiPriority w:val="0"/>
    <w:pPr>
      <w:numPr>
        <w:ilvl w:val="2"/>
      </w:num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ascii="Times New Roman" w:hAnsi="Times New Roman" w:eastAsia="宋体"/>
      <w:sz w:val="21"/>
      <w:u w:val="single"/>
    </w:rPr>
  </w:style>
  <w:style w:type="paragraph" w:styleId="7">
    <w:name w:val="heading 6"/>
    <w:basedOn w:val="8"/>
    <w:next w:val="1"/>
    <w:qFormat/>
    <w:uiPriority w:val="0"/>
    <w:pPr>
      <w:outlineLvl w:val="5"/>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sz w:val="20"/>
    </w:rPr>
  </w:style>
  <w:style w:type="paragraph" w:styleId="13">
    <w:name w:val="Document Map"/>
    <w:basedOn w:val="1"/>
    <w:link w:val="54"/>
    <w:semiHidden/>
    <w:unhideWhenUsed/>
    <w:qFormat/>
    <w:uiPriority w:val="99"/>
    <w:rPr>
      <w:rFonts w:ascii="宋体"/>
      <w:sz w:val="18"/>
      <w:szCs w:val="18"/>
    </w:rPr>
  </w:style>
  <w:style w:type="paragraph" w:styleId="14">
    <w:name w:val="annotation text"/>
    <w:basedOn w:val="1"/>
    <w:link w:val="36"/>
    <w:qFormat/>
    <w:uiPriority w:val="0"/>
  </w:style>
  <w:style w:type="paragraph" w:styleId="15">
    <w:name w:val="Body Text"/>
    <w:basedOn w:val="1"/>
    <w:qFormat/>
    <w:uiPriority w:val="0"/>
    <w:pPr>
      <w:spacing w:after="120"/>
    </w:pPr>
    <w:rPr>
      <w:rFonts w:ascii="Times" w:hAnsi="Times"/>
      <w:szCs w:val="24"/>
    </w:rPr>
  </w:style>
  <w:style w:type="paragraph" w:styleId="16">
    <w:name w:val="toc 3"/>
    <w:basedOn w:val="1"/>
    <w:next w:val="1"/>
    <w:unhideWhenUsed/>
    <w:qFormat/>
    <w:uiPriority w:val="99"/>
    <w:pPr>
      <w:adjustRightInd w:val="0"/>
      <w:ind w:left="1282" w:leftChars="400" w:hanging="442" w:hangingChars="200"/>
    </w:pPr>
    <w:rPr>
      <w:b/>
      <w:i/>
      <w:sz w:val="20"/>
    </w:rPr>
  </w:style>
  <w:style w:type="paragraph" w:styleId="17">
    <w:name w:val="Balloon Text"/>
    <w:basedOn w:val="1"/>
    <w:link w:val="32"/>
    <w:semiHidden/>
    <w:unhideWhenUsed/>
    <w:qFormat/>
    <w:uiPriority w:val="99"/>
    <w:rPr>
      <w:sz w:val="18"/>
      <w:szCs w:val="18"/>
    </w:rPr>
  </w:style>
  <w:style w:type="paragraph" w:styleId="18">
    <w:name w:val="footer"/>
    <w:basedOn w:val="1"/>
    <w:link w:val="37"/>
    <w:semiHidden/>
    <w:unhideWhenUsed/>
    <w:qFormat/>
    <w:uiPriority w:val="99"/>
    <w:pPr>
      <w:tabs>
        <w:tab w:val="center" w:pos="4153"/>
        <w:tab w:val="right" w:pos="8306"/>
      </w:tabs>
      <w:snapToGrid w:val="0"/>
      <w:jc w:val="left"/>
    </w:pPr>
    <w:rPr>
      <w:sz w:val="18"/>
      <w:szCs w:val="18"/>
    </w:rPr>
  </w:style>
  <w:style w:type="paragraph" w:styleId="19">
    <w:name w:val="header"/>
    <w:basedOn w:val="1"/>
    <w:link w:val="38"/>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sz w:val="20"/>
    </w:r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List 4"/>
    <w:basedOn w:val="9"/>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annotation subject"/>
    <w:basedOn w:val="14"/>
    <w:next w:val="14"/>
    <w:link w:val="44"/>
    <w:semiHidden/>
    <w:unhideWhenUsed/>
    <w:qFormat/>
    <w:uiPriority w:val="99"/>
    <w:pPr>
      <w:jc w:val="left"/>
    </w:pPr>
    <w:rPr>
      <w:b/>
      <w:bCs/>
    </w:rPr>
  </w:style>
  <w:style w:type="table" w:styleId="26">
    <w:name w:val="Table Grid"/>
    <w:basedOn w:val="2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Hyperlink"/>
    <w:basedOn w:val="27"/>
    <w:qFormat/>
    <w:uiPriority w:val="99"/>
    <w:rPr>
      <w:color w:val="0000FF"/>
      <w:u w:val="single"/>
    </w:rPr>
  </w:style>
  <w:style w:type="character" w:styleId="31">
    <w:name w:val="annotation reference"/>
    <w:basedOn w:val="27"/>
    <w:qFormat/>
    <w:uiPriority w:val="0"/>
    <w:rPr>
      <w:sz w:val="16"/>
    </w:rPr>
  </w:style>
  <w:style w:type="character" w:customStyle="1" w:styleId="32">
    <w:name w:val="批注框文本 字符"/>
    <w:basedOn w:val="27"/>
    <w:link w:val="17"/>
    <w:semiHidden/>
    <w:qFormat/>
    <w:uiPriority w:val="99"/>
    <w:rPr>
      <w:rFonts w:ascii="Times New Roman" w:hAnsi="Times New Roman" w:eastAsia="宋体" w:cs="Times New Roman"/>
      <w:sz w:val="18"/>
      <w:szCs w:val="18"/>
    </w:rPr>
  </w:style>
  <w:style w:type="character" w:customStyle="1" w:styleId="33">
    <w:name w:val="标题 1 字符"/>
    <w:basedOn w:val="27"/>
    <w:link w:val="2"/>
    <w:qFormat/>
    <w:uiPriority w:val="0"/>
    <w:rPr>
      <w:rFonts w:ascii="Arial" w:hAnsi="Arial" w:eastAsia="MS Mincho" w:cs="Times New Roman"/>
      <w:sz w:val="32"/>
      <w:szCs w:val="20"/>
    </w:rPr>
  </w:style>
  <w:style w:type="character" w:customStyle="1" w:styleId="34">
    <w:name w:val="标题 2 字符"/>
    <w:basedOn w:val="27"/>
    <w:link w:val="3"/>
    <w:qFormat/>
    <w:uiPriority w:val="0"/>
    <w:rPr>
      <w:rFonts w:ascii="Arial" w:hAnsi="Arial" w:eastAsia="MS Mincho" w:cs="Times New Roman"/>
      <w:sz w:val="28"/>
      <w:szCs w:val="20"/>
    </w:rPr>
  </w:style>
  <w:style w:type="character" w:customStyle="1" w:styleId="35">
    <w:name w:val="标题 3 字符"/>
    <w:basedOn w:val="27"/>
    <w:link w:val="4"/>
    <w:qFormat/>
    <w:uiPriority w:val="0"/>
    <w:rPr>
      <w:rFonts w:ascii="Arial" w:hAnsi="Arial" w:eastAsia="MS Mincho" w:cs="Times New Roman"/>
      <w:sz w:val="24"/>
      <w:szCs w:val="20"/>
    </w:rPr>
  </w:style>
  <w:style w:type="character" w:customStyle="1" w:styleId="36">
    <w:name w:val="批注文字 字符"/>
    <w:basedOn w:val="27"/>
    <w:link w:val="14"/>
    <w:qFormat/>
    <w:uiPriority w:val="0"/>
    <w:rPr>
      <w:rFonts w:ascii="Times New Roman" w:hAnsi="Times New Roman" w:eastAsia="宋体" w:cs="Times New Roman"/>
      <w:szCs w:val="20"/>
    </w:rPr>
  </w:style>
  <w:style w:type="character" w:customStyle="1" w:styleId="37">
    <w:name w:val="页脚 字符"/>
    <w:basedOn w:val="27"/>
    <w:link w:val="18"/>
    <w:semiHidden/>
    <w:qFormat/>
    <w:uiPriority w:val="99"/>
    <w:rPr>
      <w:rFonts w:ascii="Times New Roman" w:hAnsi="Times New Roman" w:eastAsia="宋体" w:cs="Times New Roman"/>
      <w:sz w:val="18"/>
      <w:szCs w:val="18"/>
    </w:rPr>
  </w:style>
  <w:style w:type="character" w:customStyle="1" w:styleId="38">
    <w:name w:val="页眉 字符"/>
    <w:basedOn w:val="27"/>
    <w:link w:val="19"/>
    <w:semiHidden/>
    <w:qFormat/>
    <w:uiPriority w:val="0"/>
    <w:rPr>
      <w:rFonts w:ascii="Times New Roman" w:hAnsi="Times New Roman" w:eastAsia="宋体" w:cs="Times New Roman"/>
      <w:sz w:val="18"/>
      <w:szCs w:val="18"/>
    </w:rPr>
  </w:style>
  <w:style w:type="paragraph" w:customStyle="1" w:styleId="39">
    <w:name w:val="References"/>
    <w:basedOn w:val="1"/>
    <w:qFormat/>
    <w:uiPriority w:val="0"/>
    <w:pPr>
      <w:numPr>
        <w:ilvl w:val="0"/>
        <w:numId w:val="2"/>
      </w:numPr>
      <w:spacing w:after="60"/>
    </w:pPr>
    <w:rPr>
      <w:szCs w:val="16"/>
    </w:rPr>
  </w:style>
  <w:style w:type="paragraph" w:styleId="40">
    <w:name w:val="List Paragraph"/>
    <w:basedOn w:val="1"/>
    <w:link w:val="46"/>
    <w:qFormat/>
    <w:uiPriority w:val="34"/>
    <w:pPr>
      <w:spacing w:beforeLines="0"/>
      <w:ind w:left="720"/>
      <w:contextualSpacing/>
    </w:pPr>
    <w:rPr>
      <w:rFonts w:eastAsia="Times New Roman"/>
      <w:sz w:val="24"/>
      <w:szCs w:val="24"/>
    </w:rPr>
  </w:style>
  <w:style w:type="character" w:customStyle="1" w:styleId="41">
    <w:name w:val="font21"/>
    <w:basedOn w:val="27"/>
    <w:qFormat/>
    <w:uiPriority w:val="0"/>
    <w:rPr>
      <w:rFonts w:hint="default" w:ascii="Times New Roman" w:hAnsi="Times New Roman" w:cs="Times New Roman"/>
      <w:color w:val="000000"/>
      <w:sz w:val="20"/>
      <w:szCs w:val="20"/>
      <w:u w:val="none"/>
    </w:rPr>
  </w:style>
  <w:style w:type="character" w:customStyle="1" w:styleId="42">
    <w:name w:val="font11"/>
    <w:basedOn w:val="27"/>
    <w:qFormat/>
    <w:uiPriority w:val="0"/>
    <w:rPr>
      <w:rFonts w:hint="default" w:ascii="Symbol" w:hAnsi="Symbol" w:cs="Symbol"/>
      <w:b/>
      <w:color w:val="000000"/>
      <w:sz w:val="20"/>
      <w:szCs w:val="20"/>
      <w:u w:val="none"/>
    </w:rPr>
  </w:style>
  <w:style w:type="character" w:customStyle="1" w:styleId="43">
    <w:name w:val="font01"/>
    <w:basedOn w:val="27"/>
    <w:qFormat/>
    <w:uiPriority w:val="0"/>
    <w:rPr>
      <w:rFonts w:hint="default" w:ascii="Symbol" w:hAnsi="Symbol" w:cs="Symbol"/>
      <w:color w:val="000000"/>
      <w:sz w:val="20"/>
      <w:szCs w:val="20"/>
      <w:u w:val="none"/>
    </w:rPr>
  </w:style>
  <w:style w:type="character" w:customStyle="1" w:styleId="44">
    <w:name w:val="批注主题 字符"/>
    <w:basedOn w:val="36"/>
    <w:link w:val="24"/>
    <w:semiHidden/>
    <w:qFormat/>
    <w:uiPriority w:val="99"/>
    <w:rPr>
      <w:rFonts w:ascii="Times New Roman" w:hAnsi="Times New Roman" w:eastAsia="宋体" w:cs="Times New Roman"/>
      <w:b/>
      <w:bCs/>
      <w:kern w:val="2"/>
      <w:sz w:val="21"/>
      <w:szCs w:val="20"/>
    </w:rPr>
  </w:style>
  <w:style w:type="paragraph" w:customStyle="1" w:styleId="4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6">
    <w:name w:val="列表段落 字符"/>
    <w:link w:val="40"/>
    <w:qFormat/>
    <w:uiPriority w:val="34"/>
    <w:rPr>
      <w:rFonts w:ascii="Times New Roman" w:hAnsi="Times New Roman" w:eastAsia="Times New Roman" w:cs="Times New Roman"/>
      <w:kern w:val="2"/>
      <w:sz w:val="24"/>
      <w:szCs w:val="24"/>
    </w:rPr>
  </w:style>
  <w:style w:type="character" w:styleId="47">
    <w:name w:val="Placeholder Text"/>
    <w:basedOn w:val="27"/>
    <w:unhideWhenUsed/>
    <w:qFormat/>
    <w:uiPriority w:val="99"/>
    <w:rPr>
      <w:color w:val="808080"/>
    </w:rPr>
  </w:style>
  <w:style w:type="paragraph" w:customStyle="1" w:styleId="48">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9">
    <w:name w:val="x_apple-converted-space"/>
    <w:qFormat/>
    <w:uiPriority w:val="0"/>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pPr>
    <w:rPr>
      <w:rFonts w:ascii="Arial" w:hAnsi="Arial"/>
      <w:sz w:val="18"/>
    </w:rPr>
  </w:style>
  <w:style w:type="paragraph" w:customStyle="1" w:styleId="53">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4">
    <w:name w:val="文档结构图 字符"/>
    <w:basedOn w:val="27"/>
    <w:link w:val="13"/>
    <w:semiHidden/>
    <w:qFormat/>
    <w:uiPriority w:val="99"/>
    <w:rPr>
      <w:rFonts w:ascii="宋体"/>
      <w:kern w:val="2"/>
      <w:sz w:val="18"/>
      <w:szCs w:val="18"/>
    </w:rPr>
  </w:style>
  <w:style w:type="paragraph" w:customStyle="1" w:styleId="55">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6">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7">
    <w:name w:val="apple-converted-space"/>
    <w:basedOn w:val="27"/>
    <w:qFormat/>
    <w:uiPriority w:val="0"/>
  </w:style>
  <w:style w:type="paragraph" w:customStyle="1" w:styleId="58">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9">
    <w:name w:val="x_xmsonormal"/>
    <w:basedOn w:val="1"/>
    <w:qFormat/>
    <w:uiPriority w:val="0"/>
    <w:rPr>
      <w:rFonts w:ascii="宋体" w:hAnsi="宋体" w:cs="Calibri"/>
      <w:sz w:val="24"/>
    </w:rPr>
  </w:style>
  <w:style w:type="paragraph" w:customStyle="1" w:styleId="60">
    <w:name w:val="YJ-Observation"/>
    <w:basedOn w:val="61"/>
    <w:qFormat/>
    <w:uiPriority w:val="0"/>
    <w:pPr>
      <w:numPr>
        <w:ilvl w:val="0"/>
        <w:numId w:val="3"/>
      </w:numPr>
      <w:tabs>
        <w:tab w:val="left" w:pos="420"/>
      </w:tabs>
    </w:pPr>
  </w:style>
  <w:style w:type="paragraph" w:customStyle="1" w:styleId="61">
    <w:name w:val="YJ-Proposal"/>
    <w:basedOn w:val="1"/>
    <w:qFormat/>
    <w:uiPriority w:val="0"/>
    <w:pPr>
      <w:numPr>
        <w:ilvl w:val="0"/>
        <w:numId w:val="4"/>
      </w:numPr>
      <w:jc w:val="left"/>
    </w:pPr>
    <w:rPr>
      <w:rFonts w:eastAsiaTheme="minorEastAsia"/>
      <w:b/>
      <w:bCs/>
      <w:i/>
      <w:iCs/>
      <w:sz w:val="20"/>
      <w:lang w:val="en-GB" w:eastAsia="en-US"/>
    </w:rPr>
  </w:style>
  <w:style w:type="paragraph" w:customStyle="1" w:styleId="62">
    <w:name w:val="3GPP Normal Text"/>
    <w:basedOn w:val="15"/>
    <w:qFormat/>
    <w:uiPriority w:val="0"/>
    <w:pPr>
      <w:spacing w:after="60"/>
    </w:pPr>
    <w:rPr>
      <w:rFonts w:ascii="Times New Roman" w:hAnsi="Times New Roman" w:eastAsia="MS Mincho"/>
    </w:rPr>
  </w:style>
  <w:style w:type="paragraph" w:customStyle="1" w:styleId="63">
    <w:name w:val="List Paragraph1"/>
    <w:basedOn w:val="1"/>
    <w:qFormat/>
    <w:uiPriority w:val="0"/>
    <w:pPr>
      <w:widowControl w:val="0"/>
      <w:spacing w:beforeLines="0" w:afterLines="0" w:line="240" w:lineRule="auto"/>
      <w:ind w:firstLine="420" w:firstLineChars="200"/>
    </w:pPr>
    <w:rPr>
      <w:rFonts w:ascii="Calibri" w:hAnsi="Calibri"/>
      <w:szCs w:val="21"/>
    </w:rPr>
  </w:style>
  <w:style w:type="character" w:customStyle="1" w:styleId="64">
    <w:name w:val="contentpasted2"/>
    <w:basedOn w:val="27"/>
    <w:qFormat/>
    <w:uiPriority w:val="0"/>
  </w:style>
  <w:style w:type="paragraph" w:customStyle="1" w:styleId="65">
    <w:name w:val="TH"/>
    <w:basedOn w:val="1"/>
    <w:qFormat/>
    <w:uiPriority w:val="0"/>
    <w:pPr>
      <w:keepNext/>
      <w:keepLines/>
      <w:spacing w:before="60" w:after="180"/>
      <w:jc w:val="center"/>
    </w:pPr>
    <w:rPr>
      <w:rFonts w:ascii="Arial" w:hAnsi="Arial" w:eastAsia="Times New Roman"/>
      <w:b/>
      <w:sz w:val="20"/>
      <w:lang w:val="en-GB"/>
    </w:rPr>
  </w:style>
  <w:style w:type="paragraph" w:customStyle="1" w:styleId="66">
    <w:name w:val="B1"/>
    <w:basedOn w:val="11"/>
    <w:qFormat/>
    <w:uiPriority w:val="0"/>
  </w:style>
  <w:style w:type="paragraph" w:customStyle="1" w:styleId="67">
    <w:name w:val="B2"/>
    <w:basedOn w:val="10"/>
    <w:qFormat/>
    <w:uiPriority w:val="0"/>
  </w:style>
  <w:style w:type="paragraph" w:customStyle="1" w:styleId="68">
    <w:name w:val="B3"/>
    <w:basedOn w:val="9"/>
    <w:qFormat/>
    <w:uiPriority w:val="0"/>
  </w:style>
  <w:style w:type="paragraph" w:customStyle="1" w:styleId="69">
    <w:name w:val="B4"/>
    <w:basedOn w:val="22"/>
    <w:qFormat/>
    <w:uiPriority w:val="0"/>
  </w:style>
  <w:style w:type="paragraph" w:customStyle="1" w:styleId="70">
    <w:name w:val="EQ"/>
    <w:basedOn w:val="1"/>
    <w:next w:val="1"/>
    <w:qFormat/>
    <w:uiPriority w:val="0"/>
    <w:pPr>
      <w:keepLines/>
      <w:tabs>
        <w:tab w:val="center" w:pos="4536"/>
        <w:tab w:val="right" w:pos="9072"/>
      </w:tabs>
    </w:pPr>
  </w:style>
  <w:style w:type="paragraph" w:customStyle="1" w:styleId="71">
    <w:name w:val="listparagraph"/>
    <w:basedOn w:val="1"/>
    <w:qFormat/>
    <w:uiPriority w:val="99"/>
    <w:pPr>
      <w:spacing w:line="252" w:lineRule="auto"/>
      <w:ind w:left="720"/>
    </w:pPr>
    <w:rPr>
      <w:rFonts w:ascii="Calibri" w:hAnsi="Calibri" w:eastAsia="Calibri" w:cs="Calibri"/>
      <w:sz w:val="22"/>
      <w:szCs w:val="22"/>
    </w:rPr>
  </w:style>
  <w:style w:type="paragraph" w:customStyle="1" w:styleId="72">
    <w:name w:val="Guidance"/>
    <w:basedOn w:val="1"/>
    <w:qFormat/>
    <w:uiPriority w:val="0"/>
    <w:rPr>
      <w:rFonts w:eastAsia="Times New Roman"/>
      <w:i/>
      <w:color w:val="000000"/>
      <w:lang w:eastAsia="ja-JP"/>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emf"/><Relationship Id="rId13" Type="http://schemas.openxmlformats.org/officeDocument/2006/relationships/image" Target="media/image2.emf"/><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EC9AE-FA89-4C56-B180-F2F2D8F6D6D1}">
  <ds:schemaRefs/>
</ds:datastoreItem>
</file>

<file path=docProps/app.xml><?xml version="1.0" encoding="utf-8"?>
<Properties xmlns="http://schemas.openxmlformats.org/officeDocument/2006/extended-properties" xmlns:vt="http://schemas.openxmlformats.org/officeDocument/2006/docPropsVTypes">
  <Template>Normal.dotm</Template>
  <Pages>9</Pages>
  <Words>2198</Words>
  <Characters>12535</Characters>
  <Lines>104</Lines>
  <Paragraphs>29</Paragraphs>
  <TotalTime>2</TotalTime>
  <ScaleCrop>false</ScaleCrop>
  <LinksUpToDate>false</LinksUpToDate>
  <CharactersWithSpaces>14704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2022-09-29T12:33:00Z</dcterms:created>
  <dc:creator>YuzhouHu</dc:creator>
  <cp:lastModifiedBy>ZTE, MX</cp:lastModifiedBy>
  <dcterms:modified xsi:type="dcterms:W3CDTF">2024-02-19T07:01:36Z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FFDABC6DC4C04001A48F3BD0B2BD04C9</vt:lpwstr>
  </property>
</Properties>
</file>